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EC" w:rsidRDefault="00AA5EEC" w:rsidP="00805B12">
      <w:pPr>
        <w:shd w:val="clear" w:color="auto" w:fill="FFFFFF"/>
        <w:spacing w:before="199" w:after="199" w:line="240" w:lineRule="auto"/>
        <w:outlineLvl w:val="1"/>
        <w:rPr>
          <w:rFonts w:ascii="Arial" w:eastAsia="Times New Roman" w:hAnsi="Arial" w:cs="Arial"/>
          <w:b/>
          <w:bCs/>
          <w:sz w:val="36"/>
          <w:szCs w:val="36"/>
          <w:lang w:eastAsia="cs-CZ"/>
        </w:rPr>
      </w:pPr>
      <w:r w:rsidRPr="00AA5EEC">
        <w:rPr>
          <w:rFonts w:ascii="Arial" w:eastAsia="Times New Roman" w:hAnsi="Arial" w:cs="Arial"/>
          <w:b/>
          <w:bCs/>
          <w:noProof/>
          <w:sz w:val="36"/>
          <w:szCs w:val="36"/>
          <w:lang w:eastAsia="cs-CZ"/>
        </w:rPr>
        <w:drawing>
          <wp:anchor distT="0" distB="0" distL="114300" distR="114300" simplePos="0" relativeHeight="251661312" behindDoc="0" locked="0" layoutInCell="1" allowOverlap="1">
            <wp:simplePos x="0" y="0"/>
            <wp:positionH relativeFrom="column">
              <wp:posOffset>2457095</wp:posOffset>
            </wp:positionH>
            <wp:positionV relativeFrom="paragraph">
              <wp:posOffset>-164910</wp:posOffset>
            </wp:positionV>
            <wp:extent cx="973888" cy="841473"/>
            <wp:effectExtent l="1905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3888" cy="841473"/>
                    </a:xfrm>
                    <a:prstGeom prst="rect">
                      <a:avLst/>
                    </a:prstGeom>
                    <a:noFill/>
                    <a:ln w="9525">
                      <a:noFill/>
                      <a:miter lim="800000"/>
                      <a:headEnd/>
                      <a:tailEnd/>
                    </a:ln>
                  </pic:spPr>
                </pic:pic>
              </a:graphicData>
            </a:graphic>
          </wp:anchor>
        </w:drawing>
      </w:r>
    </w:p>
    <w:p w:rsidR="00AA5EEC" w:rsidRDefault="00AA5EEC" w:rsidP="00805B12">
      <w:pPr>
        <w:shd w:val="clear" w:color="auto" w:fill="FFFFFF"/>
        <w:spacing w:before="199" w:after="199" w:line="240" w:lineRule="auto"/>
        <w:outlineLvl w:val="1"/>
        <w:rPr>
          <w:rFonts w:ascii="Arial" w:eastAsia="Times New Roman" w:hAnsi="Arial" w:cs="Arial"/>
          <w:b/>
          <w:bCs/>
          <w:sz w:val="36"/>
          <w:szCs w:val="36"/>
          <w:lang w:eastAsia="cs-CZ"/>
        </w:rPr>
      </w:pPr>
      <w:r>
        <w:rPr>
          <w:rFonts w:ascii="Arial" w:eastAsia="Times New Roman" w:hAnsi="Arial" w:cs="Arial"/>
          <w:b/>
          <w:bCs/>
          <w:noProof/>
          <w:sz w:val="36"/>
          <w:szCs w:val="36"/>
          <w:lang w:eastAsia="cs-CZ"/>
        </w:rPr>
        <w:drawing>
          <wp:anchor distT="0" distB="0" distL="114300" distR="114300" simplePos="0" relativeHeight="251659264" behindDoc="0" locked="0" layoutInCell="1" allowOverlap="1">
            <wp:simplePos x="0" y="0"/>
            <wp:positionH relativeFrom="column">
              <wp:posOffset>2142946</wp:posOffset>
            </wp:positionH>
            <wp:positionV relativeFrom="paragraph">
              <wp:posOffset>160943</wp:posOffset>
            </wp:positionV>
            <wp:extent cx="1658285" cy="403907"/>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58285" cy="403907"/>
                    </a:xfrm>
                    <a:prstGeom prst="rect">
                      <a:avLst/>
                    </a:prstGeom>
                    <a:noFill/>
                    <a:ln w="9525">
                      <a:noFill/>
                      <a:miter lim="800000"/>
                      <a:headEnd/>
                      <a:tailEnd/>
                    </a:ln>
                  </pic:spPr>
                </pic:pic>
              </a:graphicData>
            </a:graphic>
          </wp:anchor>
        </w:drawing>
      </w:r>
    </w:p>
    <w:p w:rsidR="00015F23" w:rsidRDefault="00015F23" w:rsidP="00805B12">
      <w:pPr>
        <w:shd w:val="clear" w:color="auto" w:fill="FFFFFF"/>
        <w:spacing w:before="199" w:after="199" w:line="240" w:lineRule="auto"/>
        <w:outlineLvl w:val="1"/>
        <w:rPr>
          <w:rFonts w:ascii="Arial" w:eastAsia="Times New Roman" w:hAnsi="Arial" w:cs="Arial"/>
          <w:b/>
          <w:bCs/>
          <w:sz w:val="36"/>
          <w:szCs w:val="36"/>
          <w:lang w:eastAsia="cs-CZ"/>
        </w:rPr>
      </w:pPr>
      <w:r>
        <w:rPr>
          <w:rFonts w:ascii="Arial" w:eastAsia="Times New Roman" w:hAnsi="Arial" w:cs="Arial"/>
          <w:b/>
          <w:bCs/>
          <w:sz w:val="36"/>
          <w:szCs w:val="36"/>
          <w:lang w:eastAsia="cs-CZ"/>
        </w:rPr>
        <w:br/>
      </w:r>
    </w:p>
    <w:p w:rsidR="00EC07A9" w:rsidRPr="00EC07A9" w:rsidRDefault="001131F6" w:rsidP="00EC07A9">
      <w:pPr>
        <w:shd w:val="clear" w:color="auto" w:fill="FFFFFF"/>
        <w:spacing w:before="199" w:after="199" w:line="240" w:lineRule="auto"/>
        <w:jc w:val="center"/>
        <w:outlineLvl w:val="1"/>
        <w:rPr>
          <w:rFonts w:ascii="Arial" w:eastAsia="Times New Roman" w:hAnsi="Arial" w:cs="Arial"/>
          <w:b/>
          <w:bCs/>
          <w:sz w:val="36"/>
          <w:szCs w:val="36"/>
          <w:u w:val="single"/>
          <w:lang w:eastAsia="cs-CZ"/>
        </w:rPr>
      </w:pPr>
      <w:proofErr w:type="gramStart"/>
      <w:r>
        <w:rPr>
          <w:rFonts w:ascii="Arial" w:eastAsia="Times New Roman" w:hAnsi="Arial" w:cs="Arial"/>
          <w:b/>
          <w:bCs/>
          <w:sz w:val="27"/>
          <w:szCs w:val="27"/>
          <w:u w:val="single"/>
          <w:lang w:eastAsia="cs-CZ"/>
        </w:rPr>
        <w:t>S.I.HAL</w:t>
      </w:r>
      <w:proofErr w:type="gramEnd"/>
      <w:r>
        <w:rPr>
          <w:rFonts w:ascii="Arial" w:eastAsia="Times New Roman" w:hAnsi="Arial" w:cs="Arial"/>
          <w:b/>
          <w:bCs/>
          <w:sz w:val="27"/>
          <w:szCs w:val="27"/>
          <w:u w:val="single"/>
          <w:lang w:eastAsia="cs-CZ"/>
        </w:rPr>
        <w:t xml:space="preserve"> s.r.o.</w:t>
      </w:r>
    </w:p>
    <w:p w:rsidR="00EC07A9" w:rsidRDefault="00596C48" w:rsidP="00EC07A9">
      <w:pPr>
        <w:shd w:val="clear" w:color="auto" w:fill="FFFFFF"/>
        <w:spacing w:before="199" w:after="199" w:line="240" w:lineRule="auto"/>
        <w:jc w:val="center"/>
        <w:outlineLvl w:val="1"/>
        <w:rPr>
          <w:rFonts w:ascii="Arial" w:eastAsia="Times New Roman" w:hAnsi="Arial" w:cs="Arial"/>
          <w:b/>
          <w:bCs/>
          <w:sz w:val="27"/>
          <w:szCs w:val="27"/>
          <w:lang w:eastAsia="cs-CZ"/>
        </w:rPr>
      </w:pPr>
      <w:r>
        <w:rPr>
          <w:rFonts w:ascii="Arial" w:eastAsia="Times New Roman" w:hAnsi="Arial" w:cs="Arial"/>
          <w:b/>
          <w:bCs/>
          <w:sz w:val="36"/>
          <w:szCs w:val="36"/>
          <w:lang w:eastAsia="cs-CZ"/>
        </w:rPr>
        <w:br/>
      </w:r>
      <w:r w:rsidR="00805B12" w:rsidRPr="00805B12">
        <w:rPr>
          <w:rFonts w:ascii="Arial" w:eastAsia="Times New Roman" w:hAnsi="Arial" w:cs="Arial"/>
          <w:bCs/>
          <w:sz w:val="27"/>
          <w:szCs w:val="27"/>
          <w:lang w:eastAsia="cs-CZ"/>
        </w:rPr>
        <w:t>ANTI MONEY-LAUNDERING</w:t>
      </w:r>
      <w:r w:rsidR="00805B12" w:rsidRPr="00805B12">
        <w:rPr>
          <w:rFonts w:ascii="Arial" w:eastAsia="Times New Roman" w:hAnsi="Arial" w:cs="Arial"/>
          <w:b/>
          <w:bCs/>
          <w:sz w:val="27"/>
          <w:szCs w:val="27"/>
          <w:lang w:eastAsia="cs-CZ"/>
        </w:rPr>
        <w:t xml:space="preserve"> </w:t>
      </w:r>
      <w:r w:rsidR="00805B12" w:rsidRPr="00805B12">
        <w:rPr>
          <w:rFonts w:ascii="Arial" w:eastAsia="Times New Roman" w:hAnsi="Arial" w:cs="Arial"/>
          <w:bCs/>
          <w:sz w:val="27"/>
          <w:szCs w:val="27"/>
          <w:lang w:eastAsia="cs-CZ"/>
        </w:rPr>
        <w:t>(AML)</w:t>
      </w:r>
    </w:p>
    <w:p w:rsidR="00EC07A9" w:rsidRPr="00EC07A9" w:rsidRDefault="003F0808" w:rsidP="00EC07A9">
      <w:pPr>
        <w:shd w:val="clear" w:color="auto" w:fill="FFFFFF"/>
        <w:spacing w:before="199" w:after="199" w:line="240" w:lineRule="auto"/>
        <w:jc w:val="center"/>
        <w:outlineLvl w:val="1"/>
        <w:rPr>
          <w:rFonts w:ascii="Arial" w:eastAsia="Times New Roman" w:hAnsi="Arial" w:cs="Arial"/>
          <w:bCs/>
          <w:lang w:eastAsia="cs-CZ"/>
        </w:rPr>
      </w:pPr>
      <w:r>
        <w:rPr>
          <w:rFonts w:ascii="Arial" w:eastAsia="Times New Roman" w:hAnsi="Arial" w:cs="Arial"/>
          <w:bCs/>
          <w:lang w:eastAsia="cs-CZ"/>
        </w:rPr>
        <w:t>&amp;</w:t>
      </w:r>
    </w:p>
    <w:p w:rsidR="00EC07A9" w:rsidRPr="00EC07A9" w:rsidRDefault="002A216A" w:rsidP="00EC07A9">
      <w:pPr>
        <w:shd w:val="clear" w:color="auto" w:fill="FFFFFF"/>
        <w:spacing w:before="199" w:after="199" w:line="240" w:lineRule="auto"/>
        <w:jc w:val="center"/>
        <w:outlineLvl w:val="1"/>
        <w:rPr>
          <w:rFonts w:ascii="Arial" w:eastAsia="Times New Roman" w:hAnsi="Arial" w:cs="Arial"/>
          <w:bCs/>
          <w:sz w:val="27"/>
          <w:szCs w:val="27"/>
          <w:lang w:eastAsia="cs-CZ"/>
        </w:rPr>
      </w:pPr>
      <w:r w:rsidRPr="00EC07A9">
        <w:rPr>
          <w:rFonts w:ascii="Arial" w:eastAsia="Times New Roman" w:hAnsi="Arial" w:cs="Arial"/>
          <w:bCs/>
          <w:sz w:val="27"/>
          <w:szCs w:val="27"/>
          <w:lang w:eastAsia="cs-CZ"/>
        </w:rPr>
        <w:t>KNOW YOUR CUSTOMER</w:t>
      </w:r>
      <w:r w:rsidRPr="00EC07A9">
        <w:rPr>
          <w:rFonts w:ascii="Arial" w:eastAsia="Times New Roman" w:hAnsi="Arial" w:cs="Arial"/>
          <w:b/>
          <w:bCs/>
          <w:sz w:val="27"/>
          <w:szCs w:val="27"/>
          <w:lang w:eastAsia="cs-CZ"/>
        </w:rPr>
        <w:t xml:space="preserve"> </w:t>
      </w:r>
      <w:r w:rsidRPr="00EC07A9">
        <w:rPr>
          <w:rFonts w:ascii="Arial" w:eastAsia="Times New Roman" w:hAnsi="Arial" w:cs="Arial"/>
          <w:bCs/>
          <w:sz w:val="27"/>
          <w:szCs w:val="27"/>
          <w:lang w:eastAsia="cs-CZ"/>
        </w:rPr>
        <w:t>(KYC)</w:t>
      </w:r>
    </w:p>
    <w:p w:rsidR="00EC07A9" w:rsidRDefault="002A216A" w:rsidP="00EC07A9">
      <w:pPr>
        <w:shd w:val="clear" w:color="auto" w:fill="FFFFFF"/>
        <w:spacing w:before="199" w:after="199" w:line="240" w:lineRule="auto"/>
        <w:jc w:val="center"/>
        <w:outlineLvl w:val="1"/>
        <w:rPr>
          <w:rFonts w:ascii="Arial" w:eastAsia="Times New Roman" w:hAnsi="Arial" w:cs="Arial"/>
          <w:b/>
          <w:bCs/>
          <w:sz w:val="27"/>
          <w:szCs w:val="27"/>
          <w:lang w:eastAsia="cs-CZ"/>
        </w:rPr>
      </w:pPr>
      <w:r w:rsidRPr="00EC07A9">
        <w:rPr>
          <w:rFonts w:ascii="Arial" w:eastAsia="Times New Roman" w:hAnsi="Arial" w:cs="Arial"/>
          <w:b/>
          <w:bCs/>
          <w:sz w:val="27"/>
          <w:szCs w:val="27"/>
          <w:lang w:eastAsia="cs-CZ"/>
        </w:rPr>
        <w:t xml:space="preserve"> </w:t>
      </w:r>
      <w:r w:rsidR="001131F6">
        <w:rPr>
          <w:rFonts w:ascii="Arial" w:eastAsia="Times New Roman" w:hAnsi="Arial" w:cs="Arial"/>
          <w:b/>
          <w:bCs/>
          <w:sz w:val="27"/>
          <w:szCs w:val="27"/>
          <w:lang w:eastAsia="cs-CZ"/>
        </w:rPr>
        <w:t xml:space="preserve">Politika platformy </w:t>
      </w:r>
      <w:proofErr w:type="spellStart"/>
      <w:r w:rsidR="001131F6">
        <w:rPr>
          <w:rFonts w:ascii="Arial" w:eastAsia="Times New Roman" w:hAnsi="Arial" w:cs="Arial"/>
          <w:b/>
          <w:bCs/>
          <w:sz w:val="27"/>
          <w:szCs w:val="27"/>
          <w:lang w:eastAsia="cs-CZ"/>
        </w:rPr>
        <w:t>Smartex</w:t>
      </w:r>
      <w:r w:rsidR="003F0808">
        <w:rPr>
          <w:rFonts w:ascii="Arial" w:eastAsia="Times New Roman" w:hAnsi="Arial" w:cs="Arial"/>
          <w:b/>
          <w:bCs/>
          <w:sz w:val="27"/>
          <w:szCs w:val="27"/>
          <w:lang w:eastAsia="cs-CZ"/>
        </w:rPr>
        <w:t>.info</w:t>
      </w:r>
      <w:proofErr w:type="spellEnd"/>
      <w:r w:rsidR="001131F6">
        <w:rPr>
          <w:rFonts w:ascii="Arial" w:eastAsia="Times New Roman" w:hAnsi="Arial" w:cs="Arial"/>
          <w:b/>
          <w:bCs/>
          <w:sz w:val="27"/>
          <w:szCs w:val="27"/>
          <w:lang w:eastAsia="cs-CZ"/>
        </w:rPr>
        <w:t xml:space="preserve"> proti praní špinavých peněz </w:t>
      </w:r>
    </w:p>
    <w:p w:rsidR="001131F6" w:rsidRPr="00805B12" w:rsidRDefault="001131F6" w:rsidP="00EC07A9">
      <w:pPr>
        <w:shd w:val="clear" w:color="auto" w:fill="FFFFFF"/>
        <w:spacing w:before="199" w:after="199" w:line="240" w:lineRule="auto"/>
        <w:jc w:val="center"/>
        <w:outlineLvl w:val="1"/>
        <w:rPr>
          <w:rFonts w:ascii="Arial" w:eastAsia="Times New Roman" w:hAnsi="Arial" w:cs="Arial"/>
          <w:b/>
          <w:bCs/>
          <w:sz w:val="27"/>
          <w:szCs w:val="27"/>
          <w:lang w:eastAsia="cs-CZ"/>
        </w:rPr>
      </w:pPr>
    </w:p>
    <w:p w:rsidR="00805B12" w:rsidRDefault="00955E49" w:rsidP="00EC07A9">
      <w:pPr>
        <w:pStyle w:val="Odstavecseseznamem"/>
        <w:numPr>
          <w:ilvl w:val="0"/>
          <w:numId w:val="11"/>
        </w:numPr>
        <w:shd w:val="clear" w:color="auto" w:fill="FFFFFF"/>
        <w:tabs>
          <w:tab w:val="left" w:pos="3914"/>
        </w:tabs>
        <w:spacing w:before="240" w:after="240" w:line="240" w:lineRule="auto"/>
        <w:outlineLvl w:val="2"/>
        <w:rPr>
          <w:rFonts w:ascii="Arial" w:eastAsia="Times New Roman" w:hAnsi="Arial" w:cs="Arial"/>
          <w:b/>
          <w:bCs/>
          <w:sz w:val="27"/>
          <w:szCs w:val="27"/>
          <w:lang w:eastAsia="cs-CZ"/>
        </w:rPr>
      </w:pPr>
      <w:r>
        <w:rPr>
          <w:rFonts w:ascii="Arial" w:eastAsia="Times New Roman" w:hAnsi="Arial" w:cs="Arial"/>
          <w:b/>
          <w:bCs/>
          <w:sz w:val="27"/>
          <w:szCs w:val="27"/>
          <w:lang w:eastAsia="cs-CZ"/>
        </w:rPr>
        <w:t>Definice AML politiky a některé definice</w:t>
      </w:r>
      <w:r w:rsidR="00EC07A9" w:rsidRPr="00EC07A9">
        <w:rPr>
          <w:rFonts w:ascii="Arial" w:eastAsia="Times New Roman" w:hAnsi="Arial" w:cs="Arial"/>
          <w:b/>
          <w:bCs/>
          <w:sz w:val="27"/>
          <w:szCs w:val="27"/>
          <w:lang w:eastAsia="cs-CZ"/>
        </w:rPr>
        <w:tab/>
      </w:r>
    </w:p>
    <w:p w:rsidR="00955E49" w:rsidRPr="00EC07A9" w:rsidRDefault="00955E49" w:rsidP="00955E49">
      <w:pPr>
        <w:pStyle w:val="Odstavecseseznamem"/>
        <w:shd w:val="clear" w:color="auto" w:fill="FFFFFF"/>
        <w:tabs>
          <w:tab w:val="left" w:pos="3914"/>
        </w:tabs>
        <w:spacing w:before="240" w:after="240" w:line="240" w:lineRule="auto"/>
        <w:outlineLvl w:val="2"/>
        <w:rPr>
          <w:rFonts w:ascii="Arial" w:eastAsia="Times New Roman" w:hAnsi="Arial" w:cs="Arial"/>
          <w:b/>
          <w:bCs/>
          <w:sz w:val="27"/>
          <w:szCs w:val="27"/>
          <w:lang w:eastAsia="cs-CZ"/>
        </w:rPr>
      </w:pPr>
    </w:p>
    <w:p w:rsidR="001131F6" w:rsidRPr="002F02A7" w:rsidRDefault="001131F6"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Smyslem </w:t>
      </w:r>
      <w:r w:rsidR="00955E49" w:rsidRPr="002F02A7">
        <w:rPr>
          <w:rFonts w:ascii="Arial" w:eastAsia="Times New Roman" w:hAnsi="Arial" w:cs="Arial"/>
          <w:sz w:val="18"/>
          <w:szCs w:val="18"/>
          <w:lang w:eastAsia="cs-CZ"/>
        </w:rPr>
        <w:t xml:space="preserve">této politiky </w:t>
      </w:r>
      <w:r w:rsidRPr="002F02A7">
        <w:rPr>
          <w:rFonts w:ascii="Arial" w:eastAsia="Times New Roman" w:hAnsi="Arial" w:cs="Arial"/>
          <w:sz w:val="18"/>
          <w:szCs w:val="18"/>
          <w:lang w:eastAsia="cs-CZ"/>
        </w:rPr>
        <w:t xml:space="preserve">společnosti </w:t>
      </w:r>
      <w:proofErr w:type="spellStart"/>
      <w:proofErr w:type="gramStart"/>
      <w:r w:rsidR="00955E49" w:rsidRPr="002F02A7">
        <w:rPr>
          <w:rFonts w:ascii="Arial" w:eastAsia="Times New Roman" w:hAnsi="Arial" w:cs="Arial"/>
          <w:sz w:val="18"/>
          <w:szCs w:val="18"/>
          <w:lang w:eastAsia="cs-CZ"/>
        </w:rPr>
        <w:t>S</w:t>
      </w:r>
      <w:proofErr w:type="spellEnd"/>
      <w:r w:rsidR="00955E49" w:rsidRPr="002F02A7">
        <w:rPr>
          <w:rFonts w:ascii="Arial" w:eastAsia="Times New Roman" w:hAnsi="Arial" w:cs="Arial"/>
          <w:sz w:val="18"/>
          <w:szCs w:val="18"/>
          <w:lang w:eastAsia="cs-CZ"/>
        </w:rPr>
        <w:t>.</w:t>
      </w:r>
      <w:proofErr w:type="spellStart"/>
      <w:r w:rsidR="00955E49" w:rsidRPr="002F02A7">
        <w:rPr>
          <w:rFonts w:ascii="Arial" w:eastAsia="Times New Roman" w:hAnsi="Arial" w:cs="Arial"/>
          <w:sz w:val="18"/>
          <w:szCs w:val="18"/>
          <w:lang w:eastAsia="cs-CZ"/>
        </w:rPr>
        <w:t>I</w:t>
      </w:r>
      <w:proofErr w:type="spellEnd"/>
      <w:r w:rsidR="00955E49" w:rsidRPr="002F02A7">
        <w:rPr>
          <w:rFonts w:ascii="Arial" w:eastAsia="Times New Roman" w:hAnsi="Arial" w:cs="Arial"/>
          <w:sz w:val="18"/>
          <w:szCs w:val="18"/>
          <w:lang w:eastAsia="cs-CZ"/>
        </w:rPr>
        <w:t>.Hal</w:t>
      </w:r>
      <w:proofErr w:type="gramEnd"/>
      <w:r w:rsidR="00955E49" w:rsidRPr="002F02A7">
        <w:rPr>
          <w:rFonts w:ascii="Arial" w:eastAsia="Times New Roman" w:hAnsi="Arial" w:cs="Arial"/>
          <w:sz w:val="18"/>
          <w:szCs w:val="18"/>
          <w:lang w:eastAsia="cs-CZ"/>
        </w:rPr>
        <w:t xml:space="preserve"> s.r.o</w:t>
      </w:r>
      <w:r w:rsidRPr="002F02A7">
        <w:rPr>
          <w:rFonts w:ascii="Arial" w:eastAsia="Times New Roman" w:hAnsi="Arial" w:cs="Arial"/>
          <w:sz w:val="18"/>
          <w:szCs w:val="18"/>
          <w:lang w:eastAsia="cs-CZ"/>
        </w:rPr>
        <w:t>. (dále jen "společnost") je zakázat a aktivně provádět prevenci praní špinavých peněz a jakoukoli činnost, která napomáhá praní špinavých peněz nebo financování teroristické nebo trestné činnosti. Společnost se zavazuje k dodržování předpisů AML v souladu s platnými právními předpisy</w:t>
      </w:r>
      <w:r w:rsidR="00955E49" w:rsidRPr="002F02A7">
        <w:rPr>
          <w:rFonts w:ascii="Arial" w:eastAsia="Times New Roman" w:hAnsi="Arial" w:cs="Arial"/>
          <w:sz w:val="18"/>
          <w:szCs w:val="18"/>
          <w:lang w:eastAsia="cs-CZ"/>
        </w:rPr>
        <w:t xml:space="preserve"> ČR. </w:t>
      </w:r>
      <w:r w:rsidR="00955E49" w:rsidRPr="002F02A7">
        <w:rPr>
          <w:rFonts w:ascii="Arial" w:eastAsia="Times New Roman" w:hAnsi="Arial" w:cs="Arial"/>
          <w:sz w:val="18"/>
          <w:szCs w:val="18"/>
          <w:lang w:eastAsia="cs-CZ"/>
        </w:rPr>
        <w:br/>
      </w:r>
      <w:r w:rsidRPr="002F02A7">
        <w:rPr>
          <w:rFonts w:ascii="Arial" w:eastAsia="Times New Roman" w:hAnsi="Arial" w:cs="Arial"/>
          <w:sz w:val="18"/>
          <w:szCs w:val="18"/>
          <w:lang w:eastAsia="cs-CZ"/>
        </w:rPr>
        <w:t xml:space="preserve">SPOLEČNOST vyžaduje, aby její zaměstnanci, zaměstnanci a přidružené subjekty dodržovali tyto standardy při předcházení používání svých produktů a služeb pro účely praní špinavých </w:t>
      </w:r>
      <w:proofErr w:type="gramStart"/>
      <w:r w:rsidRPr="002F02A7">
        <w:rPr>
          <w:rFonts w:ascii="Arial" w:eastAsia="Times New Roman" w:hAnsi="Arial" w:cs="Arial"/>
          <w:sz w:val="18"/>
          <w:szCs w:val="18"/>
          <w:lang w:eastAsia="cs-CZ"/>
        </w:rPr>
        <w:t>peněz.</w:t>
      </w:r>
      <w:r w:rsidR="0032040A" w:rsidRPr="002F02A7">
        <w:rPr>
          <w:rFonts w:ascii="Arial" w:eastAsia="Times New Roman" w:hAnsi="Arial" w:cs="Arial"/>
          <w:sz w:val="18"/>
          <w:szCs w:val="18"/>
          <w:lang w:eastAsia="cs-CZ"/>
        </w:rPr>
        <w:t>Společnost</w:t>
      </w:r>
      <w:proofErr w:type="gramEnd"/>
      <w:r w:rsidR="0032040A" w:rsidRPr="002F02A7">
        <w:rPr>
          <w:rFonts w:ascii="Arial" w:eastAsia="Times New Roman" w:hAnsi="Arial" w:cs="Arial"/>
          <w:sz w:val="18"/>
          <w:szCs w:val="18"/>
          <w:lang w:eastAsia="cs-CZ"/>
        </w:rPr>
        <w:t xml:space="preserve"> používá některých složitějších technik pro zajišťování bezpečnosti, tuto činnost vykonává v zájmu udržení dobrých vztahů s partnerskými finančními institucemi a dobré reputace před partnery a zákazníky. Informace o zákaznících jsou neveřejné, jsou skladovány dle zákonů o ochraně osobních údajů a nejsou vydány jinak než na základě zákonné pravomoci příslušného orgánu. </w:t>
      </w:r>
    </w:p>
    <w:p w:rsidR="001131F6" w:rsidRPr="002F02A7" w:rsidRDefault="001131F6"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Pro účely této politiky je praní špinavých peněz obecně definováno jako zapojení do aktů určených k utajení nebo maskování skutečného původu výnosů z trestné činnosti, aby se zdálo, že protiprávní výnos pochází z legitimního původu nebo představuje legitimní majetek.</w:t>
      </w:r>
    </w:p>
    <w:p w:rsidR="00955E49" w:rsidRPr="002F02A7" w:rsidRDefault="001131F6"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Praní peněz obecně probíhá ve třech fázích.</w:t>
      </w:r>
    </w:p>
    <w:p w:rsidR="001131F6" w:rsidRPr="002F02A7" w:rsidRDefault="001131F6" w:rsidP="00955E49">
      <w:pPr>
        <w:pStyle w:val="Odstavecseseznamem"/>
        <w:numPr>
          <w:ilvl w:val="0"/>
          <w:numId w:val="12"/>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Peněžní prostředky nejprve vstupují do peněžního systému ve fázi "umístění", kde peněžní prostředky získané z trestné činnosti jsou přeměněny na měnové nástroje, jako jsou peněžní příkazy nebo cestovní šeky, nebo uloženy na účty ve finančních institucích.</w:t>
      </w:r>
    </w:p>
    <w:p w:rsidR="00955E49" w:rsidRPr="002F02A7" w:rsidRDefault="00955E49" w:rsidP="00955E49">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p>
    <w:p w:rsidR="001131F6" w:rsidRPr="002F02A7" w:rsidRDefault="001131F6" w:rsidP="00955E49">
      <w:pPr>
        <w:pStyle w:val="Odstavecseseznamem"/>
        <w:numPr>
          <w:ilvl w:val="0"/>
          <w:numId w:val="12"/>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Ve fázi "vrstvení" se prostředky převádějí nebo přesouvají na jiné účty nebo jiné finanční instituce, aby dále oddělily peníze od svého trestného původu.</w:t>
      </w:r>
    </w:p>
    <w:p w:rsidR="00955E49" w:rsidRPr="002F02A7" w:rsidRDefault="00955E49" w:rsidP="00955E49">
      <w:pPr>
        <w:pStyle w:val="Odstavecseseznamem"/>
        <w:rPr>
          <w:rFonts w:ascii="Arial" w:eastAsia="Times New Roman" w:hAnsi="Arial" w:cs="Arial"/>
          <w:sz w:val="18"/>
          <w:szCs w:val="18"/>
          <w:lang w:eastAsia="cs-CZ"/>
        </w:rPr>
      </w:pPr>
    </w:p>
    <w:p w:rsidR="001131F6" w:rsidRPr="002F02A7" w:rsidRDefault="001131F6" w:rsidP="00955E49">
      <w:pPr>
        <w:pStyle w:val="Odstavecseseznamem"/>
        <w:numPr>
          <w:ilvl w:val="0"/>
          <w:numId w:val="12"/>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Ve fázi "integrace" jsou finanční prostředky znovu zavedeny do ekonomiky a využívány k nákupu oprávněných aktiv nebo k financování jiných trestných činností nebo legitimních podniků.</w:t>
      </w:r>
    </w:p>
    <w:p w:rsidR="001131F6" w:rsidRPr="002F02A7" w:rsidRDefault="001131F6" w:rsidP="001131F6">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p>
    <w:p w:rsidR="001131F6" w:rsidRPr="002F02A7" w:rsidRDefault="001131F6"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Financování terorismu </w:t>
      </w:r>
      <w:r w:rsidR="00955E49" w:rsidRPr="002F02A7">
        <w:rPr>
          <w:rFonts w:ascii="Arial" w:eastAsia="Times New Roman" w:hAnsi="Arial" w:cs="Arial"/>
          <w:sz w:val="18"/>
          <w:szCs w:val="18"/>
          <w:lang w:eastAsia="cs-CZ"/>
        </w:rPr>
        <w:t>nemusí</w:t>
      </w:r>
      <w:r w:rsidRPr="002F02A7">
        <w:rPr>
          <w:rFonts w:ascii="Arial" w:eastAsia="Times New Roman" w:hAnsi="Arial" w:cs="Arial"/>
          <w:sz w:val="18"/>
          <w:szCs w:val="18"/>
          <w:lang w:eastAsia="cs-CZ"/>
        </w:rPr>
        <w:t xml:space="preserve"> zahrnovat výnosy z trestné činnosti, ale spíše pokus o utajení původu nebo zamýšleného využití finančních prostředků, které budou později použity pro kriminální účely.</w:t>
      </w:r>
    </w:p>
    <w:p w:rsidR="00955E49" w:rsidRPr="002F02A7" w:rsidRDefault="001131F6"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Každý zaměstnanec společnosti, jehož povinnosti souvisejí s poskytováním produktů a služeb společnosti a které se přímo či nepřímo zabývá </w:t>
      </w:r>
      <w:proofErr w:type="spellStart"/>
      <w:r w:rsidRPr="002F02A7">
        <w:rPr>
          <w:rFonts w:ascii="Arial" w:eastAsia="Times New Roman" w:hAnsi="Arial" w:cs="Arial"/>
          <w:sz w:val="18"/>
          <w:szCs w:val="18"/>
          <w:lang w:eastAsia="cs-CZ"/>
        </w:rPr>
        <w:t>klientelem</w:t>
      </w:r>
      <w:proofErr w:type="spellEnd"/>
      <w:r w:rsidRPr="002F02A7">
        <w:rPr>
          <w:rFonts w:ascii="Arial" w:eastAsia="Times New Roman" w:hAnsi="Arial" w:cs="Arial"/>
          <w:sz w:val="18"/>
          <w:szCs w:val="18"/>
          <w:lang w:eastAsia="cs-CZ"/>
        </w:rPr>
        <w:t xml:space="preserve"> společnosti, očekává, že bude znát požadavky platných zákonů a </w:t>
      </w:r>
      <w:r w:rsidRPr="002F02A7">
        <w:rPr>
          <w:rFonts w:ascii="Arial" w:eastAsia="Times New Roman" w:hAnsi="Arial" w:cs="Arial"/>
          <w:sz w:val="18"/>
          <w:szCs w:val="18"/>
          <w:lang w:eastAsia="cs-CZ"/>
        </w:rPr>
        <w:lastRenderedPageBreak/>
        <w:t>předpisů, které ovlivňují jeho pracovní povinnosti, a je kladnou povinností takového zaměstnance, aby tyto povinnosti vždy plnil způsobem, který splňuje požadavky příslušných zákonů a předpisů.</w:t>
      </w:r>
    </w:p>
    <w:p w:rsidR="00955E49" w:rsidRPr="002F02A7" w:rsidRDefault="00955E49"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Každý zaměstnanec i vnitřní partner společnosti tuto politiku podepíše sám za sebe svým jménem nebo ji akceptuje při registraci</w:t>
      </w:r>
    </w:p>
    <w:p w:rsidR="001131F6" w:rsidRPr="002F02A7" w:rsidRDefault="001131F6" w:rsidP="00955E49">
      <w:p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Aby bylo zajištěno provádění této obecné politiky, vedení společnosti vytvořilo a udržuje průběžný program za účelem zajištění souladu s příslušnými zákony a předpisy a předcházení praní špinavých peněz. Tento program usiluje o koordinaci specifických regulačních požadavků v celé skupině v rámci konsolidovaného rámce, aby bylo možné účinně </w:t>
      </w:r>
      <w:r w:rsidR="003F0808" w:rsidRPr="002F02A7">
        <w:rPr>
          <w:rFonts w:ascii="Arial" w:eastAsia="Times New Roman" w:hAnsi="Arial" w:cs="Arial"/>
          <w:sz w:val="18"/>
          <w:szCs w:val="18"/>
          <w:lang w:eastAsia="cs-CZ"/>
        </w:rPr>
        <w:t>minimalizovat</w:t>
      </w:r>
      <w:r w:rsidRPr="002F02A7">
        <w:rPr>
          <w:rFonts w:ascii="Arial" w:eastAsia="Times New Roman" w:hAnsi="Arial" w:cs="Arial"/>
          <w:sz w:val="18"/>
          <w:szCs w:val="18"/>
          <w:lang w:eastAsia="cs-CZ"/>
        </w:rPr>
        <w:t xml:space="preserve"> riziko vystavení </w:t>
      </w:r>
      <w:r w:rsidR="003F0808" w:rsidRPr="002F02A7">
        <w:rPr>
          <w:rFonts w:ascii="Arial" w:eastAsia="Times New Roman" w:hAnsi="Arial" w:cs="Arial"/>
          <w:sz w:val="18"/>
          <w:szCs w:val="18"/>
          <w:lang w:eastAsia="cs-CZ"/>
        </w:rPr>
        <w:t>platformy</w:t>
      </w:r>
      <w:r w:rsidRPr="002F02A7">
        <w:rPr>
          <w:rFonts w:ascii="Arial" w:eastAsia="Times New Roman" w:hAnsi="Arial" w:cs="Arial"/>
          <w:sz w:val="18"/>
          <w:szCs w:val="18"/>
          <w:lang w:eastAsia="cs-CZ"/>
        </w:rPr>
        <w:t xml:space="preserve"> praní špinavýc</w:t>
      </w:r>
      <w:r w:rsidR="003F0808" w:rsidRPr="002F02A7">
        <w:rPr>
          <w:rFonts w:ascii="Arial" w:eastAsia="Times New Roman" w:hAnsi="Arial" w:cs="Arial"/>
          <w:sz w:val="18"/>
          <w:szCs w:val="18"/>
          <w:lang w:eastAsia="cs-CZ"/>
        </w:rPr>
        <w:t>h peněz a financování terorismu</w:t>
      </w:r>
    </w:p>
    <w:p w:rsidR="00955E49" w:rsidRPr="00955E49" w:rsidRDefault="00955E49" w:rsidP="00955E49">
      <w:pPr>
        <w:shd w:val="clear" w:color="auto" w:fill="FFFFFF"/>
        <w:tabs>
          <w:tab w:val="left" w:pos="3914"/>
        </w:tabs>
        <w:spacing w:before="240" w:after="240" w:line="240" w:lineRule="auto"/>
        <w:outlineLvl w:val="2"/>
        <w:rPr>
          <w:rFonts w:ascii="Arial" w:eastAsia="Times New Roman" w:hAnsi="Arial" w:cs="Arial"/>
          <w:sz w:val="16"/>
          <w:szCs w:val="16"/>
          <w:lang w:eastAsia="cs-CZ"/>
        </w:rPr>
      </w:pPr>
    </w:p>
    <w:p w:rsidR="00955E49" w:rsidRPr="00955E49" w:rsidRDefault="00955E49" w:rsidP="00955E49">
      <w:pPr>
        <w:pStyle w:val="Odstavecseseznamem"/>
        <w:numPr>
          <w:ilvl w:val="0"/>
          <w:numId w:val="11"/>
        </w:numPr>
        <w:shd w:val="clear" w:color="auto" w:fill="FFFFFF"/>
        <w:tabs>
          <w:tab w:val="left" w:pos="3914"/>
        </w:tabs>
        <w:spacing w:before="240" w:after="240" w:line="240" w:lineRule="auto"/>
        <w:outlineLvl w:val="2"/>
        <w:rPr>
          <w:rFonts w:ascii="Arial" w:eastAsia="Times New Roman" w:hAnsi="Arial" w:cs="Arial"/>
          <w:b/>
          <w:bCs/>
          <w:sz w:val="27"/>
          <w:szCs w:val="27"/>
          <w:u w:val="single"/>
          <w:lang w:eastAsia="cs-CZ"/>
        </w:rPr>
      </w:pPr>
      <w:r w:rsidRPr="00955E49">
        <w:rPr>
          <w:rFonts w:ascii="Arial" w:eastAsia="Times New Roman" w:hAnsi="Arial" w:cs="Arial"/>
          <w:b/>
          <w:bCs/>
          <w:sz w:val="27"/>
          <w:szCs w:val="27"/>
          <w:u w:val="single"/>
          <w:lang w:eastAsia="cs-CZ"/>
        </w:rPr>
        <w:t>Odhad rizika</w:t>
      </w:r>
    </w:p>
    <w:p w:rsidR="00955E49" w:rsidRDefault="00955E49" w:rsidP="00955E49">
      <w:pPr>
        <w:shd w:val="clear" w:color="auto" w:fill="FFFFFF"/>
        <w:tabs>
          <w:tab w:val="left" w:pos="3914"/>
        </w:tabs>
        <w:spacing w:before="240" w:after="240" w:line="240" w:lineRule="auto"/>
        <w:ind w:left="360"/>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Posouzení rizika vystavení problému praní špinavých peněz ve všech vztazích se zákazníky musí být dokončeno pomocí standardního modelu rizikové klasifikace společnosti. Každý uživatel má svůj vlastní "rizikový rating", který není veřejný. V případě, že uživatelé </w:t>
      </w:r>
      <w:r w:rsidR="003F0808" w:rsidRPr="002F02A7">
        <w:rPr>
          <w:rFonts w:ascii="Arial" w:eastAsia="Times New Roman" w:hAnsi="Arial" w:cs="Arial"/>
          <w:sz w:val="18"/>
          <w:szCs w:val="18"/>
          <w:lang w:eastAsia="cs-CZ"/>
        </w:rPr>
        <w:t xml:space="preserve">vykazují </w:t>
      </w:r>
      <w:r w:rsidRPr="002F02A7">
        <w:rPr>
          <w:rFonts w:ascii="Arial" w:eastAsia="Times New Roman" w:hAnsi="Arial" w:cs="Arial"/>
          <w:sz w:val="18"/>
          <w:szCs w:val="18"/>
          <w:lang w:eastAsia="cs-CZ"/>
        </w:rPr>
        <w:t>neobvyklý</w:t>
      </w:r>
      <w:r w:rsidR="003F0808" w:rsidRPr="002F02A7">
        <w:rPr>
          <w:rFonts w:ascii="Arial" w:eastAsia="Times New Roman" w:hAnsi="Arial" w:cs="Arial"/>
          <w:sz w:val="18"/>
          <w:szCs w:val="18"/>
          <w:lang w:eastAsia="cs-CZ"/>
        </w:rPr>
        <w:t xml:space="preserve"> rating</w:t>
      </w:r>
      <w:r w:rsidRPr="002F02A7">
        <w:rPr>
          <w:rFonts w:ascii="Arial" w:eastAsia="Times New Roman" w:hAnsi="Arial" w:cs="Arial"/>
          <w:sz w:val="18"/>
          <w:szCs w:val="18"/>
          <w:lang w:eastAsia="cs-CZ"/>
        </w:rPr>
        <w:t xml:space="preserve">, </w:t>
      </w:r>
      <w:r w:rsidR="003F0808" w:rsidRPr="002F02A7">
        <w:rPr>
          <w:rFonts w:ascii="Arial" w:eastAsia="Times New Roman" w:hAnsi="Arial" w:cs="Arial"/>
          <w:sz w:val="18"/>
          <w:szCs w:val="18"/>
          <w:lang w:eastAsia="cs-CZ"/>
        </w:rPr>
        <w:t>jsou</w:t>
      </w:r>
      <w:r w:rsidRPr="002F02A7">
        <w:rPr>
          <w:rFonts w:ascii="Arial" w:eastAsia="Times New Roman" w:hAnsi="Arial" w:cs="Arial"/>
          <w:sz w:val="18"/>
          <w:szCs w:val="18"/>
          <w:lang w:eastAsia="cs-CZ"/>
        </w:rPr>
        <w:t xml:space="preserve"> </w:t>
      </w:r>
      <w:proofErr w:type="spellStart"/>
      <w:r w:rsidR="003F0808" w:rsidRPr="002F02A7">
        <w:rPr>
          <w:rFonts w:ascii="Arial" w:eastAsia="Times New Roman" w:hAnsi="Arial" w:cs="Arial"/>
          <w:sz w:val="18"/>
          <w:szCs w:val="18"/>
          <w:lang w:eastAsia="cs-CZ"/>
        </w:rPr>
        <w:t>povini</w:t>
      </w:r>
      <w:proofErr w:type="spellEnd"/>
      <w:r w:rsidR="003F0808" w:rsidRPr="002F02A7">
        <w:rPr>
          <w:rFonts w:ascii="Arial" w:eastAsia="Times New Roman" w:hAnsi="Arial" w:cs="Arial"/>
          <w:sz w:val="18"/>
          <w:szCs w:val="18"/>
          <w:lang w:eastAsia="cs-CZ"/>
        </w:rPr>
        <w:t xml:space="preserve"> se podrobit</w:t>
      </w:r>
      <w:r w:rsidRPr="002F02A7">
        <w:rPr>
          <w:rFonts w:ascii="Arial" w:eastAsia="Times New Roman" w:hAnsi="Arial" w:cs="Arial"/>
          <w:sz w:val="18"/>
          <w:szCs w:val="18"/>
          <w:lang w:eastAsia="cs-CZ"/>
        </w:rPr>
        <w:t xml:space="preserve"> </w:t>
      </w:r>
      <w:r w:rsidR="003F0808" w:rsidRPr="002F02A7">
        <w:rPr>
          <w:rFonts w:ascii="Arial" w:eastAsia="Times New Roman" w:hAnsi="Arial" w:cs="Arial"/>
          <w:sz w:val="18"/>
          <w:szCs w:val="18"/>
          <w:lang w:eastAsia="cs-CZ"/>
        </w:rPr>
        <w:t xml:space="preserve">nezbytným </w:t>
      </w:r>
      <w:r w:rsidRPr="002F02A7">
        <w:rPr>
          <w:rFonts w:ascii="Arial" w:eastAsia="Times New Roman" w:hAnsi="Arial" w:cs="Arial"/>
          <w:sz w:val="18"/>
          <w:szCs w:val="18"/>
          <w:lang w:eastAsia="cs-CZ"/>
        </w:rPr>
        <w:t>opatření - deklarovat zdroj finančních prostředků</w:t>
      </w:r>
      <w:r w:rsidR="003F0808" w:rsidRPr="002F02A7">
        <w:rPr>
          <w:rFonts w:ascii="Arial" w:eastAsia="Times New Roman" w:hAnsi="Arial" w:cs="Arial"/>
          <w:sz w:val="18"/>
          <w:szCs w:val="18"/>
          <w:lang w:eastAsia="cs-CZ"/>
        </w:rPr>
        <w:t xml:space="preserve">. V opačném případě je ukončena spolupráce s uživatelem, zavedení uživatele na černou listinu a případně předání informací dalším orgánům, vyžaduje-li to zákon nebo příslušný orgán na základě zákonné </w:t>
      </w:r>
      <w:proofErr w:type="spellStart"/>
      <w:r w:rsidR="003F0808" w:rsidRPr="002F02A7">
        <w:rPr>
          <w:rFonts w:ascii="Arial" w:eastAsia="Times New Roman" w:hAnsi="Arial" w:cs="Arial"/>
          <w:sz w:val="18"/>
          <w:szCs w:val="18"/>
          <w:lang w:eastAsia="cs-CZ"/>
        </w:rPr>
        <w:t>pravomoce</w:t>
      </w:r>
      <w:proofErr w:type="spellEnd"/>
      <w:r w:rsidR="003F0808" w:rsidRPr="002F02A7">
        <w:rPr>
          <w:rFonts w:ascii="Arial" w:eastAsia="Times New Roman" w:hAnsi="Arial" w:cs="Arial"/>
          <w:sz w:val="18"/>
          <w:szCs w:val="18"/>
          <w:lang w:eastAsia="cs-CZ"/>
        </w:rPr>
        <w:t xml:space="preserve">. </w:t>
      </w:r>
    </w:p>
    <w:p w:rsidR="002F02A7" w:rsidRDefault="002F02A7" w:rsidP="00955E49">
      <w:pPr>
        <w:shd w:val="clear" w:color="auto" w:fill="FFFFFF"/>
        <w:tabs>
          <w:tab w:val="left" w:pos="3914"/>
        </w:tabs>
        <w:spacing w:before="240" w:after="240" w:line="240" w:lineRule="auto"/>
        <w:ind w:left="360"/>
        <w:outlineLvl w:val="2"/>
        <w:rPr>
          <w:rFonts w:ascii="Arial" w:eastAsia="Times New Roman" w:hAnsi="Arial" w:cs="Arial"/>
          <w:sz w:val="18"/>
          <w:szCs w:val="18"/>
          <w:lang w:eastAsia="cs-CZ"/>
        </w:rPr>
      </w:pPr>
    </w:p>
    <w:p w:rsidR="002F02A7" w:rsidRPr="002F02A7" w:rsidRDefault="002F02A7" w:rsidP="00955E49">
      <w:pPr>
        <w:shd w:val="clear" w:color="auto" w:fill="FFFFFF"/>
        <w:tabs>
          <w:tab w:val="left" w:pos="3914"/>
        </w:tabs>
        <w:spacing w:before="240" w:after="240" w:line="240" w:lineRule="auto"/>
        <w:ind w:left="360"/>
        <w:outlineLvl w:val="2"/>
        <w:rPr>
          <w:rFonts w:ascii="Arial" w:eastAsia="Times New Roman" w:hAnsi="Arial" w:cs="Arial"/>
          <w:sz w:val="18"/>
          <w:szCs w:val="18"/>
          <w:lang w:eastAsia="cs-CZ"/>
        </w:rPr>
      </w:pPr>
    </w:p>
    <w:p w:rsidR="00955E49" w:rsidRDefault="00955E49" w:rsidP="003F0808">
      <w:pPr>
        <w:pStyle w:val="Odstavecseseznamem"/>
        <w:numPr>
          <w:ilvl w:val="0"/>
          <w:numId w:val="11"/>
        </w:numPr>
        <w:shd w:val="clear" w:color="auto" w:fill="FFFFFF"/>
        <w:tabs>
          <w:tab w:val="left" w:pos="3914"/>
        </w:tabs>
        <w:spacing w:before="240" w:after="240" w:line="240" w:lineRule="auto"/>
        <w:outlineLvl w:val="2"/>
        <w:rPr>
          <w:rFonts w:ascii="Arial" w:eastAsia="Times New Roman" w:hAnsi="Arial" w:cs="Arial"/>
          <w:b/>
          <w:bCs/>
          <w:sz w:val="27"/>
          <w:szCs w:val="27"/>
          <w:u w:val="single"/>
          <w:lang w:eastAsia="cs-CZ"/>
        </w:rPr>
      </w:pPr>
      <w:r w:rsidRPr="003F0808">
        <w:rPr>
          <w:rFonts w:ascii="Arial" w:eastAsia="Times New Roman" w:hAnsi="Arial" w:cs="Arial"/>
          <w:b/>
          <w:bCs/>
          <w:sz w:val="27"/>
          <w:szCs w:val="27"/>
          <w:u w:val="single"/>
          <w:lang w:eastAsia="cs-CZ"/>
        </w:rPr>
        <w:t>Podezřelá činnost</w:t>
      </w:r>
    </w:p>
    <w:p w:rsidR="003F0808" w:rsidRPr="003F0808" w:rsidRDefault="003F0808" w:rsidP="003F0808">
      <w:pPr>
        <w:pStyle w:val="Odstavecseseznamem"/>
        <w:shd w:val="clear" w:color="auto" w:fill="FFFFFF"/>
        <w:tabs>
          <w:tab w:val="left" w:pos="3914"/>
        </w:tabs>
        <w:spacing w:before="240" w:after="240" w:line="240" w:lineRule="auto"/>
        <w:ind w:left="502"/>
        <w:outlineLvl w:val="2"/>
        <w:rPr>
          <w:rFonts w:ascii="Arial" w:eastAsia="Times New Roman" w:hAnsi="Arial" w:cs="Arial"/>
          <w:b/>
          <w:bCs/>
          <w:sz w:val="27"/>
          <w:szCs w:val="27"/>
          <w:u w:val="single"/>
          <w:lang w:eastAsia="cs-CZ"/>
        </w:rPr>
      </w:pPr>
    </w:p>
    <w:p w:rsidR="003F0808" w:rsidRPr="002F02A7" w:rsidRDefault="00955E49" w:rsidP="00955E49">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Existují náznaky podezřelých aktivit, které naznačují praní špinavých peněz. </w:t>
      </w:r>
      <w:r w:rsidR="003F0808" w:rsidRPr="002F02A7">
        <w:rPr>
          <w:rFonts w:ascii="Arial" w:eastAsia="Times New Roman" w:hAnsi="Arial" w:cs="Arial"/>
          <w:sz w:val="18"/>
          <w:szCs w:val="18"/>
          <w:lang w:eastAsia="cs-CZ"/>
        </w:rPr>
        <w:t>Ty jsou běžně označovány</w:t>
      </w:r>
      <w:r w:rsidRPr="002F02A7">
        <w:rPr>
          <w:rFonts w:ascii="Arial" w:eastAsia="Times New Roman" w:hAnsi="Arial" w:cs="Arial"/>
          <w:sz w:val="18"/>
          <w:szCs w:val="18"/>
          <w:lang w:eastAsia="cs-CZ"/>
        </w:rPr>
        <w:t xml:space="preserve"> jako "</w:t>
      </w:r>
      <w:proofErr w:type="spellStart"/>
      <w:r w:rsidR="003F0808" w:rsidRPr="002F02A7">
        <w:rPr>
          <w:rFonts w:ascii="Arial" w:eastAsia="Times New Roman" w:hAnsi="Arial" w:cs="Arial"/>
          <w:sz w:val="18"/>
          <w:szCs w:val="18"/>
          <w:lang w:eastAsia="cs-CZ"/>
        </w:rPr>
        <w:t>Red</w:t>
      </w:r>
      <w:proofErr w:type="spellEnd"/>
      <w:r w:rsidR="003F0808" w:rsidRPr="002F02A7">
        <w:rPr>
          <w:rFonts w:ascii="Arial" w:eastAsia="Times New Roman" w:hAnsi="Arial" w:cs="Arial"/>
          <w:sz w:val="18"/>
          <w:szCs w:val="18"/>
          <w:lang w:eastAsia="cs-CZ"/>
        </w:rPr>
        <w:t xml:space="preserve"> flag</w:t>
      </w:r>
      <w:r w:rsidRPr="002F02A7">
        <w:rPr>
          <w:rFonts w:ascii="Arial" w:eastAsia="Times New Roman" w:hAnsi="Arial" w:cs="Arial"/>
          <w:sz w:val="18"/>
          <w:szCs w:val="18"/>
          <w:lang w:eastAsia="cs-CZ"/>
        </w:rPr>
        <w:t>"</w:t>
      </w:r>
      <w:r w:rsidR="003F0808" w:rsidRPr="002F02A7">
        <w:rPr>
          <w:rFonts w:ascii="Arial" w:eastAsia="Times New Roman" w:hAnsi="Arial" w:cs="Arial"/>
          <w:sz w:val="18"/>
          <w:szCs w:val="18"/>
          <w:lang w:eastAsia="cs-CZ"/>
        </w:rPr>
        <w:t xml:space="preserve"> (červená vlajka </w:t>
      </w:r>
      <w:r w:rsidR="003F0808" w:rsidRPr="002F02A7">
        <w:rPr>
          <w:rFonts w:ascii="Arial" w:eastAsia="Times New Roman" w:hAnsi="Arial" w:cs="Arial"/>
          <w:sz w:val="18"/>
          <w:szCs w:val="18"/>
          <w:lang w:eastAsia="cs-CZ"/>
        </w:rPr>
        <w:sym w:font="Wingdings" w:char="F0E0"/>
      </w:r>
      <w:r w:rsidR="003F0808" w:rsidRPr="002F02A7">
        <w:rPr>
          <w:rFonts w:ascii="Arial" w:eastAsia="Times New Roman" w:hAnsi="Arial" w:cs="Arial"/>
          <w:sz w:val="18"/>
          <w:szCs w:val="18"/>
          <w:lang w:eastAsia="cs-CZ"/>
        </w:rPr>
        <w:t xml:space="preserve"> symbol pro podezřelou aktivitu) </w:t>
      </w:r>
    </w:p>
    <w:p w:rsidR="00955E49" w:rsidRPr="002F02A7" w:rsidRDefault="00955E49" w:rsidP="00955E49">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Pokud je zjištěna červená vlajka, bude provedena dodatečná </w:t>
      </w:r>
      <w:r w:rsidR="003F0808" w:rsidRPr="002F02A7">
        <w:rPr>
          <w:rFonts w:ascii="Arial" w:eastAsia="Times New Roman" w:hAnsi="Arial" w:cs="Arial"/>
          <w:sz w:val="18"/>
          <w:szCs w:val="18"/>
          <w:lang w:eastAsia="cs-CZ"/>
        </w:rPr>
        <w:t>náležitá péče</w:t>
      </w:r>
      <w:r w:rsidRPr="002F02A7">
        <w:rPr>
          <w:rFonts w:ascii="Arial" w:eastAsia="Times New Roman" w:hAnsi="Arial" w:cs="Arial"/>
          <w:sz w:val="18"/>
          <w:szCs w:val="18"/>
          <w:lang w:eastAsia="cs-CZ"/>
        </w:rPr>
        <w:t xml:space="preserve"> před přijetím požadavků klienta nebo poskytováním služeb.</w:t>
      </w:r>
      <w:r w:rsidR="009B525B" w:rsidRPr="002F02A7">
        <w:rPr>
          <w:rFonts w:ascii="Arial" w:eastAsia="Times New Roman" w:hAnsi="Arial" w:cs="Arial"/>
          <w:sz w:val="18"/>
          <w:szCs w:val="18"/>
          <w:lang w:eastAsia="cs-CZ"/>
        </w:rPr>
        <w:t xml:space="preserve"> Červená vlajka neboli </w:t>
      </w:r>
      <w:proofErr w:type="spellStart"/>
      <w:r w:rsidR="009B525B" w:rsidRPr="002F02A7">
        <w:rPr>
          <w:rFonts w:ascii="Arial" w:eastAsia="Times New Roman" w:hAnsi="Arial" w:cs="Arial"/>
          <w:sz w:val="18"/>
          <w:szCs w:val="18"/>
          <w:lang w:eastAsia="cs-CZ"/>
        </w:rPr>
        <w:t>red</w:t>
      </w:r>
      <w:proofErr w:type="spellEnd"/>
      <w:r w:rsidR="009B525B" w:rsidRPr="002F02A7">
        <w:rPr>
          <w:rFonts w:ascii="Arial" w:eastAsia="Times New Roman" w:hAnsi="Arial" w:cs="Arial"/>
          <w:sz w:val="18"/>
          <w:szCs w:val="18"/>
          <w:lang w:eastAsia="cs-CZ"/>
        </w:rPr>
        <w:t xml:space="preserve"> flag nemusí nutně znamenat trestnou činnost uživatele. </w:t>
      </w:r>
      <w:proofErr w:type="spellStart"/>
      <w:r w:rsidR="009B525B" w:rsidRPr="002F02A7">
        <w:rPr>
          <w:rFonts w:ascii="Arial" w:eastAsia="Times New Roman" w:hAnsi="Arial" w:cs="Arial"/>
          <w:sz w:val="18"/>
          <w:szCs w:val="18"/>
          <w:lang w:eastAsia="cs-CZ"/>
        </w:rPr>
        <w:t>Red</w:t>
      </w:r>
      <w:proofErr w:type="spellEnd"/>
      <w:r w:rsidR="009B525B" w:rsidRPr="002F02A7">
        <w:rPr>
          <w:rFonts w:ascii="Arial" w:eastAsia="Times New Roman" w:hAnsi="Arial" w:cs="Arial"/>
          <w:sz w:val="18"/>
          <w:szCs w:val="18"/>
          <w:lang w:eastAsia="cs-CZ"/>
        </w:rPr>
        <w:t xml:space="preserve"> flag není definována zákonem, jedná se pouze o instrumenty, se kterými společnost pracuje v rámci udržení dobré reputace před regulátory. </w:t>
      </w:r>
      <w:proofErr w:type="spellStart"/>
      <w:r w:rsidR="009B525B" w:rsidRPr="002F02A7">
        <w:rPr>
          <w:rFonts w:ascii="Arial" w:eastAsia="Times New Roman" w:hAnsi="Arial" w:cs="Arial"/>
          <w:sz w:val="18"/>
          <w:szCs w:val="18"/>
          <w:lang w:eastAsia="cs-CZ"/>
        </w:rPr>
        <w:t>Red</w:t>
      </w:r>
      <w:proofErr w:type="spellEnd"/>
      <w:r w:rsidR="009B525B" w:rsidRPr="002F02A7">
        <w:rPr>
          <w:rFonts w:ascii="Arial" w:eastAsia="Times New Roman" w:hAnsi="Arial" w:cs="Arial"/>
          <w:sz w:val="18"/>
          <w:szCs w:val="18"/>
          <w:lang w:eastAsia="cs-CZ"/>
        </w:rPr>
        <w:t xml:space="preserve"> flag je pouhým důvodem pro zvýšenou pozornost společnosti. Společnost bude pracovat takovým způsobem, aby s informacemi pracovala efektivně. </w:t>
      </w:r>
    </w:p>
    <w:p w:rsidR="003F0808" w:rsidRPr="002F02A7" w:rsidRDefault="003F0808" w:rsidP="00955E49">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p>
    <w:p w:rsidR="00955E49" w:rsidRPr="002F02A7" w:rsidRDefault="00955E49" w:rsidP="00955E49">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Příklady </w:t>
      </w:r>
      <w:r w:rsidR="003F0808" w:rsidRPr="002F02A7">
        <w:rPr>
          <w:rFonts w:ascii="Arial" w:eastAsia="Times New Roman" w:hAnsi="Arial" w:cs="Arial"/>
          <w:sz w:val="18"/>
          <w:szCs w:val="18"/>
          <w:lang w:eastAsia="cs-CZ"/>
        </w:rPr>
        <w:t>„červených vlajek“</w:t>
      </w:r>
      <w:r w:rsidRPr="002F02A7">
        <w:rPr>
          <w:rFonts w:ascii="Arial" w:eastAsia="Times New Roman" w:hAnsi="Arial" w:cs="Arial"/>
          <w:sz w:val="18"/>
          <w:szCs w:val="18"/>
          <w:lang w:eastAsia="cs-CZ"/>
        </w:rPr>
        <w:t xml:space="preserve"> jsou:</w:t>
      </w:r>
    </w:p>
    <w:p w:rsidR="003F0808" w:rsidRPr="002F02A7" w:rsidRDefault="003F0808" w:rsidP="00955E49">
      <w:pPr>
        <w:pStyle w:val="Odstavecseseznamem"/>
        <w:shd w:val="clear" w:color="auto" w:fill="FFFFFF"/>
        <w:tabs>
          <w:tab w:val="left" w:pos="3914"/>
        </w:tabs>
        <w:spacing w:before="240" w:after="240" w:line="240" w:lineRule="auto"/>
        <w:outlineLvl w:val="2"/>
        <w:rPr>
          <w:rFonts w:ascii="Arial" w:eastAsia="Times New Roman" w:hAnsi="Arial" w:cs="Arial"/>
          <w:sz w:val="18"/>
          <w:szCs w:val="18"/>
          <w:lang w:eastAsia="cs-CZ"/>
        </w:rPr>
      </w:pP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Zákazník vykazuje mimořádné obavy ohledně politik AML, zejména pokud jde o jeho totožnost, druh podnikání a majetek, nebo se zdráhá nebo odmítá odhalit jakékoli informace týkající se podnikatelských činností nebo poskytne </w:t>
      </w:r>
      <w:r w:rsidR="00E4406D" w:rsidRPr="002F02A7">
        <w:rPr>
          <w:rFonts w:ascii="Arial" w:eastAsia="Times New Roman" w:hAnsi="Arial" w:cs="Arial"/>
          <w:sz w:val="18"/>
          <w:szCs w:val="18"/>
          <w:lang w:eastAsia="cs-CZ"/>
        </w:rPr>
        <w:t>nereálné, padělané</w:t>
      </w:r>
      <w:r w:rsidRPr="002F02A7">
        <w:rPr>
          <w:rFonts w:ascii="Arial" w:eastAsia="Times New Roman" w:hAnsi="Arial" w:cs="Arial"/>
          <w:sz w:val="18"/>
          <w:szCs w:val="18"/>
          <w:lang w:eastAsia="cs-CZ"/>
        </w:rPr>
        <w:t xml:space="preserve"> nebo podezřelé identifikační nebo obchodní doklady.</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Zákazník se chce zapojit do transakcí, které nemají obchodní smysl nebo zjevnou investiční strategii, nebo jsou v rozporu s uvedenou obchodní strategií zákazníka.</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Informace poskytnuté zákazníkem, které identifikují oprávněný zdroj peněžních prostředků, jsou nepravdivé, zavádějící nebo podstatně nesprávné.</w:t>
      </w:r>
    </w:p>
    <w:p w:rsidR="00955E49"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 Zákazník </w:t>
      </w:r>
      <w:r w:rsidR="00E4406D" w:rsidRPr="002F02A7">
        <w:rPr>
          <w:rFonts w:ascii="Arial" w:eastAsia="Times New Roman" w:hAnsi="Arial" w:cs="Arial"/>
          <w:sz w:val="18"/>
          <w:szCs w:val="18"/>
          <w:lang w:eastAsia="cs-CZ"/>
        </w:rPr>
        <w:t xml:space="preserve">se odmítne </w:t>
      </w:r>
      <w:r w:rsidRPr="002F02A7">
        <w:rPr>
          <w:rFonts w:ascii="Arial" w:eastAsia="Times New Roman" w:hAnsi="Arial" w:cs="Arial"/>
          <w:sz w:val="18"/>
          <w:szCs w:val="18"/>
          <w:lang w:eastAsia="cs-CZ"/>
        </w:rPr>
        <w:t xml:space="preserve">na žádost </w:t>
      </w:r>
      <w:r w:rsidR="00E4406D" w:rsidRPr="002F02A7">
        <w:rPr>
          <w:rFonts w:ascii="Arial" w:eastAsia="Times New Roman" w:hAnsi="Arial" w:cs="Arial"/>
          <w:sz w:val="18"/>
          <w:szCs w:val="18"/>
          <w:lang w:eastAsia="cs-CZ"/>
        </w:rPr>
        <w:t>identifikovat nebo neoznačí</w:t>
      </w:r>
      <w:r w:rsidRPr="002F02A7">
        <w:rPr>
          <w:rFonts w:ascii="Arial" w:eastAsia="Times New Roman" w:hAnsi="Arial" w:cs="Arial"/>
          <w:sz w:val="18"/>
          <w:szCs w:val="18"/>
          <w:lang w:eastAsia="cs-CZ"/>
        </w:rPr>
        <w:t xml:space="preserve"> legitimní zdroj svých prostředků a jiných aktiv.</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Zákazník (nebo osoba veřejně spojená se zákazníkem) má sporné zázemí nebo je předmětem zpravodajství o možných trestních, občanských nebo regulačních porušováních.</w:t>
      </w:r>
    </w:p>
    <w:p w:rsidR="00E4406D" w:rsidRPr="002F02A7" w:rsidRDefault="00E4406D"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Zákazník projevuje nedostatečnou pozornost </w:t>
      </w:r>
      <w:r w:rsidR="00955E49" w:rsidRPr="002F02A7">
        <w:rPr>
          <w:rFonts w:ascii="Arial" w:eastAsia="Times New Roman" w:hAnsi="Arial" w:cs="Arial"/>
          <w:sz w:val="18"/>
          <w:szCs w:val="18"/>
          <w:lang w:eastAsia="cs-CZ"/>
        </w:rPr>
        <w:t xml:space="preserve">ohledně rizik, </w:t>
      </w:r>
      <w:r w:rsidRPr="002F02A7">
        <w:rPr>
          <w:rFonts w:ascii="Arial" w:eastAsia="Times New Roman" w:hAnsi="Arial" w:cs="Arial"/>
          <w:sz w:val="18"/>
          <w:szCs w:val="18"/>
          <w:lang w:eastAsia="cs-CZ"/>
        </w:rPr>
        <w:t>nesmyslným poplatkům</w:t>
      </w:r>
      <w:r w:rsidR="00955E49" w:rsidRPr="002F02A7">
        <w:rPr>
          <w:rFonts w:ascii="Arial" w:eastAsia="Times New Roman" w:hAnsi="Arial" w:cs="Arial"/>
          <w:sz w:val="18"/>
          <w:szCs w:val="18"/>
          <w:lang w:eastAsia="cs-CZ"/>
        </w:rPr>
        <w:t xml:space="preserve"> nebo jiný</w:t>
      </w:r>
      <w:r w:rsidRPr="002F02A7">
        <w:rPr>
          <w:rFonts w:ascii="Arial" w:eastAsia="Times New Roman" w:hAnsi="Arial" w:cs="Arial"/>
          <w:sz w:val="18"/>
          <w:szCs w:val="18"/>
          <w:lang w:eastAsia="cs-CZ"/>
        </w:rPr>
        <w:t>m</w:t>
      </w:r>
      <w:r w:rsidR="00955E49" w:rsidRPr="002F02A7">
        <w:rPr>
          <w:rFonts w:ascii="Arial" w:eastAsia="Times New Roman" w:hAnsi="Arial" w:cs="Arial"/>
          <w:sz w:val="18"/>
          <w:szCs w:val="18"/>
          <w:lang w:eastAsia="cs-CZ"/>
        </w:rPr>
        <w:t xml:space="preserve"> transakční</w:t>
      </w:r>
      <w:r w:rsidRPr="002F02A7">
        <w:rPr>
          <w:rFonts w:ascii="Arial" w:eastAsia="Times New Roman" w:hAnsi="Arial" w:cs="Arial"/>
          <w:sz w:val="18"/>
          <w:szCs w:val="18"/>
          <w:lang w:eastAsia="cs-CZ"/>
        </w:rPr>
        <w:t>m nákladům</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Zdá se, že zákazník jedná jako zástupce nezveřejněné jistiny, ale odmítá nebo se zdráhá, bez oprávněných obchodních důvodů, poskytnout informace nebo jiným způsobem vyhýbat se této osobě nebo subjektu.</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Zákazník má potíže s popisem povahy svého podnikání nebo nemá obecné znalosti o svém oboru.</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Zákazník se pokouší provádět časté nebo velké vklady měny, trvá na tom, že obchoduje pouze s peněžními ekvivalenty.</w:t>
      </w:r>
    </w:p>
    <w:p w:rsidR="00E4406D" w:rsidRPr="002F02A7" w:rsidRDefault="00E4406D"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Bez ohlášení nebo jasného důvodu m</w:t>
      </w:r>
      <w:r w:rsidR="00955E49" w:rsidRPr="002F02A7">
        <w:rPr>
          <w:rFonts w:ascii="Arial" w:eastAsia="Times New Roman" w:hAnsi="Arial" w:cs="Arial"/>
          <w:sz w:val="18"/>
          <w:szCs w:val="18"/>
          <w:lang w:eastAsia="cs-CZ"/>
        </w:rPr>
        <w:t>á zákazník více účtů pod jedním jménem nebo více názvy, s velkým počtem přenosů mezi účty nebo třetími stranami.</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 Účet zákazníka má nevysvětlitelnou nebo náhlou aktivitu, zejména u účtů, které neměly nebo neměly žádné předchozí aktivity.</w:t>
      </w:r>
    </w:p>
    <w:p w:rsidR="00955E49"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lastRenderedPageBreak/>
        <w:t xml:space="preserve">Účet zákazníka má </w:t>
      </w:r>
      <w:r w:rsidR="00E4406D" w:rsidRPr="002F02A7">
        <w:rPr>
          <w:rFonts w:ascii="Arial" w:eastAsia="Times New Roman" w:hAnsi="Arial" w:cs="Arial"/>
          <w:sz w:val="18"/>
          <w:szCs w:val="18"/>
          <w:lang w:eastAsia="cs-CZ"/>
        </w:rPr>
        <w:t xml:space="preserve">jakékoliv </w:t>
      </w:r>
      <w:r w:rsidRPr="002F02A7">
        <w:rPr>
          <w:rFonts w:ascii="Arial" w:eastAsia="Times New Roman" w:hAnsi="Arial" w:cs="Arial"/>
          <w:sz w:val="18"/>
          <w:szCs w:val="18"/>
          <w:lang w:eastAsia="cs-CZ"/>
        </w:rPr>
        <w:t>množství bankovních převodů třetím osobám, které nejsou ve spojení, v rozporu s</w:t>
      </w:r>
      <w:r w:rsidR="00E4406D" w:rsidRPr="002F02A7">
        <w:rPr>
          <w:rFonts w:ascii="Arial" w:eastAsia="Times New Roman" w:hAnsi="Arial" w:cs="Arial"/>
          <w:sz w:val="18"/>
          <w:szCs w:val="18"/>
          <w:lang w:eastAsia="cs-CZ"/>
        </w:rPr>
        <w:t> Obchodními podmínkami a s</w:t>
      </w:r>
      <w:r w:rsidRPr="002F02A7">
        <w:rPr>
          <w:rFonts w:ascii="Arial" w:eastAsia="Times New Roman" w:hAnsi="Arial" w:cs="Arial"/>
          <w:sz w:val="18"/>
          <w:szCs w:val="18"/>
          <w:lang w:eastAsia="cs-CZ"/>
        </w:rPr>
        <w:t xml:space="preserve"> oprávněným obchodním účelem zákazníka.</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Účet zákazn</w:t>
      </w:r>
      <w:r w:rsidR="00E4406D" w:rsidRPr="002F02A7">
        <w:rPr>
          <w:rFonts w:ascii="Arial" w:eastAsia="Times New Roman" w:hAnsi="Arial" w:cs="Arial"/>
          <w:sz w:val="18"/>
          <w:szCs w:val="18"/>
          <w:lang w:eastAsia="cs-CZ"/>
        </w:rPr>
        <w:t xml:space="preserve">íka má bankovní převody, které </w:t>
      </w:r>
      <w:r w:rsidRPr="002F02A7">
        <w:rPr>
          <w:rFonts w:ascii="Arial" w:eastAsia="Times New Roman" w:hAnsi="Arial" w:cs="Arial"/>
          <w:sz w:val="18"/>
          <w:szCs w:val="18"/>
          <w:lang w:eastAsia="cs-CZ"/>
        </w:rPr>
        <w:t>mají zjevný obchodní účel pro z</w:t>
      </w:r>
      <w:r w:rsidR="00E4406D" w:rsidRPr="002F02A7">
        <w:rPr>
          <w:rFonts w:ascii="Arial" w:eastAsia="Times New Roman" w:hAnsi="Arial" w:cs="Arial"/>
          <w:sz w:val="18"/>
          <w:szCs w:val="18"/>
          <w:lang w:eastAsia="cs-CZ"/>
        </w:rPr>
        <w:t xml:space="preserve">emi identifikovanou jako rizikovou pro </w:t>
      </w:r>
      <w:r w:rsidRPr="002F02A7">
        <w:rPr>
          <w:rFonts w:ascii="Arial" w:eastAsia="Times New Roman" w:hAnsi="Arial" w:cs="Arial"/>
          <w:sz w:val="18"/>
          <w:szCs w:val="18"/>
          <w:lang w:eastAsia="cs-CZ"/>
        </w:rPr>
        <w:t xml:space="preserve">praní špinavých peněz nebo </w:t>
      </w:r>
      <w:r w:rsidR="00E4406D" w:rsidRPr="002F02A7">
        <w:rPr>
          <w:rFonts w:ascii="Arial" w:eastAsia="Times New Roman" w:hAnsi="Arial" w:cs="Arial"/>
          <w:sz w:val="18"/>
          <w:szCs w:val="18"/>
          <w:lang w:eastAsia="cs-CZ"/>
        </w:rPr>
        <w:t>pro financování ilegálních aktivit</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Účet zákazníka označuje velké či časté bankovní převody, které byly okamžitě zrušeny šekovou nebo debetní kartou bez jakéhokoli zjevného obchodního účelu.</w:t>
      </w:r>
    </w:p>
    <w:p w:rsidR="00E4406D"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Zákazník provádí nadměrné </w:t>
      </w:r>
      <w:r w:rsidR="00E4406D" w:rsidRPr="002F02A7">
        <w:rPr>
          <w:rFonts w:ascii="Arial" w:eastAsia="Times New Roman" w:hAnsi="Arial" w:cs="Arial"/>
          <w:sz w:val="18"/>
          <w:szCs w:val="18"/>
          <w:lang w:eastAsia="cs-CZ"/>
        </w:rPr>
        <w:t>převody</w:t>
      </w:r>
      <w:r w:rsidRPr="002F02A7">
        <w:rPr>
          <w:rFonts w:ascii="Arial" w:eastAsia="Times New Roman" w:hAnsi="Arial" w:cs="Arial"/>
          <w:sz w:val="18"/>
          <w:szCs w:val="18"/>
          <w:lang w:eastAsia="cs-CZ"/>
        </w:rPr>
        <w:t xml:space="preserve"> mezi nesouvisejícími účty bez jakéhokoli zjevného obchodního účelu.</w:t>
      </w:r>
    </w:p>
    <w:p w:rsidR="00955E49" w:rsidRPr="002F02A7" w:rsidRDefault="00955E49" w:rsidP="00E4406D">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Zákazník požaduje, aby byla transakce zpracována tak, aby se zabránilo běžným požadavkům firmy na dokumentaci.</w:t>
      </w:r>
    </w:p>
    <w:p w:rsidR="009B525B" w:rsidRPr="002F02A7" w:rsidRDefault="00E4406D" w:rsidP="002F02A7">
      <w:pPr>
        <w:pStyle w:val="Odstavecseseznamem"/>
        <w:numPr>
          <w:ilvl w:val="0"/>
          <w:numId w:val="13"/>
        </w:numPr>
        <w:shd w:val="clear" w:color="auto" w:fill="FFFFFF"/>
        <w:tabs>
          <w:tab w:val="left" w:pos="3914"/>
        </w:tabs>
        <w:spacing w:before="240" w:after="240" w:line="240" w:lineRule="auto"/>
        <w:outlineLvl w:val="2"/>
        <w:rPr>
          <w:rFonts w:ascii="Arial" w:eastAsia="Times New Roman" w:hAnsi="Arial" w:cs="Arial"/>
          <w:sz w:val="18"/>
          <w:szCs w:val="18"/>
          <w:lang w:eastAsia="cs-CZ"/>
        </w:rPr>
      </w:pPr>
      <w:r w:rsidRPr="002F02A7">
        <w:rPr>
          <w:rFonts w:ascii="Arial" w:eastAsia="Times New Roman" w:hAnsi="Arial" w:cs="Arial"/>
          <w:sz w:val="18"/>
          <w:szCs w:val="18"/>
          <w:lang w:eastAsia="cs-CZ"/>
        </w:rPr>
        <w:t>Jiná činnost zákazníka nebo jeho chování vypovídá o jeho působení v trestné činnosti nebo porušování zákonů</w:t>
      </w:r>
    </w:p>
    <w:p w:rsidR="00955E49" w:rsidRDefault="00955E49" w:rsidP="00EC07A9">
      <w:pPr>
        <w:shd w:val="clear" w:color="auto" w:fill="FFFFFF"/>
        <w:spacing w:after="0" w:line="240" w:lineRule="auto"/>
        <w:rPr>
          <w:rFonts w:ascii="Arial" w:eastAsia="Times New Roman" w:hAnsi="Arial" w:cs="Arial"/>
          <w:sz w:val="16"/>
          <w:szCs w:val="16"/>
          <w:lang w:eastAsia="cs-CZ"/>
        </w:rPr>
      </w:pPr>
    </w:p>
    <w:p w:rsidR="002F02A7" w:rsidRPr="00805B12" w:rsidRDefault="002F02A7" w:rsidP="00EC07A9">
      <w:pPr>
        <w:shd w:val="clear" w:color="auto" w:fill="FFFFFF"/>
        <w:spacing w:after="0" w:line="240" w:lineRule="auto"/>
        <w:rPr>
          <w:rFonts w:ascii="Arial" w:eastAsia="Times New Roman" w:hAnsi="Arial" w:cs="Arial"/>
          <w:sz w:val="16"/>
          <w:szCs w:val="16"/>
          <w:lang w:eastAsia="cs-CZ"/>
        </w:rPr>
      </w:pPr>
    </w:p>
    <w:p w:rsidR="00955E49" w:rsidRPr="0032040A" w:rsidRDefault="00955E49" w:rsidP="00E4406D">
      <w:pPr>
        <w:pStyle w:val="Odstavecseseznamem"/>
        <w:numPr>
          <w:ilvl w:val="0"/>
          <w:numId w:val="11"/>
        </w:numPr>
        <w:shd w:val="clear" w:color="auto" w:fill="FFFFFF"/>
        <w:tabs>
          <w:tab w:val="left" w:pos="3914"/>
        </w:tabs>
        <w:spacing w:before="240" w:after="240" w:line="240" w:lineRule="auto"/>
        <w:outlineLvl w:val="2"/>
        <w:rPr>
          <w:rFonts w:ascii="Arial" w:eastAsia="Times New Roman" w:hAnsi="Arial" w:cs="Arial"/>
          <w:sz w:val="16"/>
          <w:szCs w:val="16"/>
          <w:lang w:eastAsia="cs-CZ"/>
        </w:rPr>
      </w:pPr>
      <w:r w:rsidRPr="00E4406D">
        <w:rPr>
          <w:rFonts w:ascii="Arial" w:eastAsia="Times New Roman" w:hAnsi="Arial" w:cs="Arial"/>
          <w:b/>
          <w:bCs/>
          <w:sz w:val="27"/>
          <w:szCs w:val="27"/>
          <w:u w:val="single"/>
          <w:lang w:eastAsia="cs-CZ"/>
        </w:rPr>
        <w:t>Identifikace zákazníka</w:t>
      </w:r>
    </w:p>
    <w:p w:rsidR="0032040A" w:rsidRPr="002F02A7" w:rsidRDefault="0032040A" w:rsidP="0032040A">
      <w:pPr>
        <w:pStyle w:val="Odstavecseseznamem"/>
        <w:shd w:val="clear" w:color="auto" w:fill="FFFFFF"/>
        <w:tabs>
          <w:tab w:val="left" w:pos="3914"/>
        </w:tabs>
        <w:spacing w:before="240" w:after="240" w:line="240" w:lineRule="auto"/>
        <w:ind w:left="502"/>
        <w:outlineLvl w:val="2"/>
        <w:rPr>
          <w:rFonts w:ascii="Arial" w:eastAsia="Times New Roman" w:hAnsi="Arial" w:cs="Arial"/>
          <w:sz w:val="18"/>
          <w:szCs w:val="18"/>
          <w:lang w:eastAsia="cs-CZ"/>
        </w:rPr>
      </w:pP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Společnost bude dokumentovat a udržovat písemné postupy pro identifikaci zákazníků (dále jen "ověření"), které umožní vytvořit přiměřené přesvědčení, že společnost zná skutečnou identitu svých zákazníků.</w:t>
      </w: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Není-li společnost schopna ověřit totožnost zákazníka v přiměřené lhůtě po vyzvednutí služby nebo otevírání účtu, budou tyto služby pozastaveny a účet bude uzavřen. Takový účet a služby budou předmětem zvýšené </w:t>
      </w:r>
      <w:r w:rsidR="009B525B" w:rsidRPr="002F02A7">
        <w:rPr>
          <w:rFonts w:ascii="Arial" w:eastAsia="Times New Roman" w:hAnsi="Arial" w:cs="Arial"/>
          <w:sz w:val="18"/>
          <w:szCs w:val="18"/>
          <w:lang w:eastAsia="cs-CZ"/>
        </w:rPr>
        <w:t>péče</w:t>
      </w:r>
      <w:r w:rsidRPr="002F02A7">
        <w:rPr>
          <w:rFonts w:ascii="Arial" w:eastAsia="Times New Roman" w:hAnsi="Arial" w:cs="Arial"/>
          <w:sz w:val="18"/>
          <w:szCs w:val="18"/>
          <w:lang w:eastAsia="cs-CZ"/>
        </w:rPr>
        <w:t>, dokud nebude ověřena totožnost zákazníka nebo bude účet zrušen a služby pozastaveny.</w:t>
      </w:r>
    </w:p>
    <w:p w:rsidR="009B525B" w:rsidRPr="002F02A7" w:rsidRDefault="009B525B"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Společnost nutně neověřuje každého zákazníka, ověřuje pouze takové, u kterých uzná ověření za nutné na základě </w:t>
      </w:r>
      <w:proofErr w:type="spellStart"/>
      <w:r w:rsidRPr="002F02A7">
        <w:rPr>
          <w:rFonts w:ascii="Arial" w:eastAsia="Times New Roman" w:hAnsi="Arial" w:cs="Arial"/>
          <w:sz w:val="18"/>
          <w:szCs w:val="18"/>
          <w:lang w:eastAsia="cs-CZ"/>
        </w:rPr>
        <w:t>red</w:t>
      </w:r>
      <w:proofErr w:type="spellEnd"/>
      <w:r w:rsidRPr="002F02A7">
        <w:rPr>
          <w:rFonts w:ascii="Arial" w:eastAsia="Times New Roman" w:hAnsi="Arial" w:cs="Arial"/>
          <w:sz w:val="18"/>
          <w:szCs w:val="18"/>
          <w:lang w:eastAsia="cs-CZ"/>
        </w:rPr>
        <w:t xml:space="preserve"> flag nebo na </w:t>
      </w:r>
      <w:proofErr w:type="spellStart"/>
      <w:r w:rsidRPr="002F02A7">
        <w:rPr>
          <w:rFonts w:ascii="Arial" w:eastAsia="Times New Roman" w:hAnsi="Arial" w:cs="Arial"/>
          <w:sz w:val="18"/>
          <w:szCs w:val="18"/>
          <w:lang w:eastAsia="cs-CZ"/>
        </w:rPr>
        <w:t>zálkadě</w:t>
      </w:r>
      <w:proofErr w:type="spellEnd"/>
      <w:r w:rsidRPr="002F02A7">
        <w:rPr>
          <w:rFonts w:ascii="Arial" w:eastAsia="Times New Roman" w:hAnsi="Arial" w:cs="Arial"/>
          <w:sz w:val="18"/>
          <w:szCs w:val="18"/>
          <w:lang w:eastAsia="cs-CZ"/>
        </w:rPr>
        <w:t xml:space="preserve"> příslušných zákonů. V rámci ČR se společnost bude řídit zákonem 253/2008 Sb. Proti legalizaci výnosů z trestné činnosti a financování terorizmu, v platném znění a znění pozdějších předpisů.</w:t>
      </w:r>
    </w:p>
    <w:p w:rsidR="0032040A" w:rsidRDefault="0032040A" w:rsidP="00955E49">
      <w:pPr>
        <w:shd w:val="clear" w:color="auto" w:fill="FFFFFF"/>
        <w:spacing w:after="0" w:line="240" w:lineRule="auto"/>
        <w:rPr>
          <w:rFonts w:ascii="Arial" w:eastAsia="Times New Roman" w:hAnsi="Arial" w:cs="Arial"/>
          <w:sz w:val="16"/>
          <w:szCs w:val="16"/>
          <w:lang w:eastAsia="cs-CZ"/>
        </w:rPr>
      </w:pPr>
    </w:p>
    <w:p w:rsidR="0032040A" w:rsidRPr="00955E49" w:rsidRDefault="0032040A" w:rsidP="00955E49">
      <w:pPr>
        <w:shd w:val="clear" w:color="auto" w:fill="FFFFFF"/>
        <w:spacing w:after="0" w:line="240" w:lineRule="auto"/>
        <w:rPr>
          <w:rFonts w:ascii="Arial" w:eastAsia="Times New Roman" w:hAnsi="Arial" w:cs="Arial"/>
          <w:sz w:val="16"/>
          <w:szCs w:val="16"/>
          <w:lang w:eastAsia="cs-CZ"/>
        </w:rPr>
      </w:pPr>
    </w:p>
    <w:p w:rsidR="00955E49" w:rsidRPr="00955E49" w:rsidRDefault="00955E49" w:rsidP="00955E49">
      <w:pPr>
        <w:shd w:val="clear" w:color="auto" w:fill="FFFFFF"/>
        <w:spacing w:after="0" w:line="240" w:lineRule="auto"/>
        <w:rPr>
          <w:rFonts w:ascii="Arial" w:eastAsia="Times New Roman" w:hAnsi="Arial" w:cs="Arial"/>
          <w:sz w:val="16"/>
          <w:szCs w:val="16"/>
          <w:lang w:eastAsia="cs-CZ"/>
        </w:rPr>
      </w:pPr>
    </w:p>
    <w:p w:rsidR="00955E49" w:rsidRPr="009B525B" w:rsidRDefault="00955E49" w:rsidP="009B525B">
      <w:pPr>
        <w:pStyle w:val="Odstavecseseznamem"/>
        <w:numPr>
          <w:ilvl w:val="0"/>
          <w:numId w:val="11"/>
        </w:numPr>
        <w:shd w:val="clear" w:color="auto" w:fill="FFFFFF"/>
        <w:spacing w:after="0" w:line="240" w:lineRule="auto"/>
        <w:rPr>
          <w:rFonts w:ascii="Arial" w:eastAsia="Times New Roman" w:hAnsi="Arial" w:cs="Arial"/>
          <w:b/>
          <w:bCs/>
          <w:sz w:val="27"/>
          <w:szCs w:val="27"/>
          <w:u w:val="single"/>
          <w:lang w:eastAsia="cs-CZ"/>
        </w:rPr>
      </w:pPr>
      <w:r w:rsidRPr="009B525B">
        <w:rPr>
          <w:rFonts w:ascii="Arial" w:eastAsia="Times New Roman" w:hAnsi="Arial" w:cs="Arial"/>
          <w:b/>
          <w:bCs/>
          <w:sz w:val="27"/>
          <w:szCs w:val="27"/>
          <w:u w:val="single"/>
          <w:lang w:eastAsia="cs-CZ"/>
        </w:rPr>
        <w:t>Ověření a proces KYC pro fyzické osoby</w:t>
      </w:r>
    </w:p>
    <w:p w:rsidR="009B525B" w:rsidRPr="009B525B" w:rsidRDefault="009B525B" w:rsidP="009B525B">
      <w:pPr>
        <w:pStyle w:val="Odstavecseseznamem"/>
        <w:shd w:val="clear" w:color="auto" w:fill="FFFFFF"/>
        <w:spacing w:after="0" w:line="240" w:lineRule="auto"/>
        <w:ind w:left="502"/>
        <w:rPr>
          <w:rFonts w:ascii="Arial" w:eastAsia="Times New Roman" w:hAnsi="Arial" w:cs="Arial"/>
          <w:sz w:val="16"/>
          <w:szCs w:val="16"/>
          <w:lang w:eastAsia="cs-CZ"/>
        </w:rPr>
      </w:pPr>
    </w:p>
    <w:p w:rsidR="009B525B"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Pro fyzické osoby by měly být případně získány následující informace:</w:t>
      </w:r>
    </w:p>
    <w:p w:rsidR="009B525B" w:rsidRPr="002F02A7" w:rsidRDefault="009B525B" w:rsidP="00955E49">
      <w:pPr>
        <w:shd w:val="clear" w:color="auto" w:fill="FFFFFF"/>
        <w:spacing w:after="0" w:line="240" w:lineRule="auto"/>
        <w:rPr>
          <w:rFonts w:ascii="Arial" w:eastAsia="Times New Roman" w:hAnsi="Arial" w:cs="Arial"/>
          <w:sz w:val="18"/>
          <w:szCs w:val="18"/>
          <w:lang w:eastAsia="cs-CZ"/>
        </w:rPr>
      </w:pPr>
    </w:p>
    <w:p w:rsidR="009B525B" w:rsidRPr="002F02A7" w:rsidRDefault="009B525B"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Křestní jméno a příjmení</w:t>
      </w:r>
      <w:r w:rsidR="00955E49" w:rsidRPr="002F02A7">
        <w:rPr>
          <w:rFonts w:ascii="Arial" w:eastAsia="Times New Roman" w:hAnsi="Arial" w:cs="Arial"/>
          <w:sz w:val="18"/>
          <w:szCs w:val="18"/>
          <w:lang w:eastAsia="cs-CZ"/>
        </w:rPr>
        <w:t xml:space="preserve"> a všechna jiná jména používaná (například rodné jméno).</w:t>
      </w:r>
    </w:p>
    <w:p w:rsidR="009B525B"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Správná adresa trvalého bydliště (je třeba získat úplnou adresu, ne</w:t>
      </w:r>
      <w:r w:rsidR="009B525B" w:rsidRPr="002F02A7">
        <w:rPr>
          <w:rFonts w:ascii="Arial" w:eastAsia="Times New Roman" w:hAnsi="Arial" w:cs="Arial"/>
          <w:sz w:val="18"/>
          <w:szCs w:val="18"/>
          <w:lang w:eastAsia="cs-CZ"/>
        </w:rPr>
        <w:t xml:space="preserve">ní </w:t>
      </w:r>
      <w:r w:rsidRPr="002F02A7">
        <w:rPr>
          <w:rFonts w:ascii="Arial" w:eastAsia="Times New Roman" w:hAnsi="Arial" w:cs="Arial"/>
          <w:sz w:val="18"/>
          <w:szCs w:val="18"/>
          <w:lang w:eastAsia="cs-CZ"/>
        </w:rPr>
        <w:t>dostatečné číslo poštovní schránky).</w:t>
      </w:r>
    </w:p>
    <w:p w:rsidR="009B525B"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Telefonní číslo, faxové číslo a e-</w:t>
      </w:r>
      <w:proofErr w:type="spellStart"/>
      <w:r w:rsidRPr="002F02A7">
        <w:rPr>
          <w:rFonts w:ascii="Arial" w:eastAsia="Times New Roman" w:hAnsi="Arial" w:cs="Arial"/>
          <w:sz w:val="18"/>
          <w:szCs w:val="18"/>
          <w:lang w:eastAsia="cs-CZ"/>
        </w:rPr>
        <w:t>mailová</w:t>
      </w:r>
      <w:proofErr w:type="spellEnd"/>
      <w:r w:rsidRPr="002F02A7">
        <w:rPr>
          <w:rFonts w:ascii="Arial" w:eastAsia="Times New Roman" w:hAnsi="Arial" w:cs="Arial"/>
          <w:sz w:val="18"/>
          <w:szCs w:val="18"/>
          <w:lang w:eastAsia="cs-CZ"/>
        </w:rPr>
        <w:t xml:space="preserve"> adresa.</w:t>
      </w:r>
    </w:p>
    <w:p w:rsidR="009B525B"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Datum a místo narození.</w:t>
      </w:r>
    </w:p>
    <w:p w:rsidR="009B525B"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Národnost.</w:t>
      </w:r>
    </w:p>
    <w:p w:rsidR="009B525B"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Cestovní průkaz / řidičský průkaz nebo jiný vládní doklad s fotografií a jménem</w:t>
      </w:r>
    </w:p>
    <w:p w:rsidR="009B525B"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Zaměstnání, veřejná funkce a / nebo jméno zaměstnavatele.</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Úřední osobní identifikační číslo nebo jiný jedinečný identifikátor, který je obsažen v nezaniklém úředním dokladu (např. Pas, průkaz totožnosti, povolení k pobytu, záznamy o sociálním zabezpečení, řidičský průkaz) s fotografií zákazníka.</w:t>
      </w:r>
    </w:p>
    <w:p w:rsidR="00955E49"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Zdroj bohatství (</w:t>
      </w:r>
      <w:r w:rsidR="0032040A" w:rsidRPr="002F02A7">
        <w:rPr>
          <w:rFonts w:ascii="Arial" w:eastAsia="Times New Roman" w:hAnsi="Arial" w:cs="Arial"/>
          <w:sz w:val="18"/>
          <w:szCs w:val="18"/>
          <w:lang w:eastAsia="cs-CZ"/>
        </w:rPr>
        <w:t>dodatečná informace v případě dodatečných otázek ze strany společnosti</w:t>
      </w:r>
      <w:r w:rsidRPr="002F02A7">
        <w:rPr>
          <w:rFonts w:ascii="Arial" w:eastAsia="Times New Roman" w:hAnsi="Arial" w:cs="Arial"/>
          <w:sz w:val="18"/>
          <w:szCs w:val="18"/>
          <w:lang w:eastAsia="cs-CZ"/>
        </w:rPr>
        <w:t>).</w:t>
      </w:r>
    </w:p>
    <w:p w:rsidR="0032040A" w:rsidRPr="002F02A7" w:rsidRDefault="0032040A" w:rsidP="00955E49">
      <w:pPr>
        <w:shd w:val="clear" w:color="auto" w:fill="FFFFFF"/>
        <w:spacing w:after="0" w:line="240" w:lineRule="auto"/>
        <w:rPr>
          <w:rFonts w:ascii="Arial" w:eastAsia="Times New Roman" w:hAnsi="Arial" w:cs="Arial"/>
          <w:sz w:val="18"/>
          <w:szCs w:val="18"/>
          <w:lang w:eastAsia="cs-CZ"/>
        </w:rPr>
      </w:pPr>
    </w:p>
    <w:p w:rsidR="0032040A"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Společnost ověří tyto informace nejméně jednou z následujících metod: </w:t>
      </w:r>
    </w:p>
    <w:p w:rsidR="0032040A" w:rsidRPr="002F02A7" w:rsidRDefault="0032040A" w:rsidP="00955E49">
      <w:pPr>
        <w:shd w:val="clear" w:color="auto" w:fill="FFFFFF"/>
        <w:spacing w:after="0" w:line="240" w:lineRule="auto"/>
        <w:rPr>
          <w:rFonts w:ascii="Arial" w:eastAsia="Times New Roman" w:hAnsi="Arial" w:cs="Arial"/>
          <w:sz w:val="18"/>
          <w:szCs w:val="18"/>
          <w:lang w:eastAsia="cs-CZ"/>
        </w:rPr>
      </w:pPr>
    </w:p>
    <w:p w:rsidR="0032040A" w:rsidRPr="002F02A7" w:rsidRDefault="00955E49" w:rsidP="0032040A">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Potvrzení data narození z úředního dokumentu (např. Rodný list, cestovní pas, průkaz totožnosti, záznamy o sociálním zabezpečení).</w:t>
      </w:r>
    </w:p>
    <w:p w:rsidR="0032040A" w:rsidRPr="002F02A7" w:rsidRDefault="00955E49" w:rsidP="0032040A">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Potvrzení trvalé adresy (např. Účet za služby, daňový výměr, bankovní výpis, dopis od veřejného orgánu).</w:t>
      </w:r>
    </w:p>
    <w:p w:rsidR="00955E49" w:rsidRPr="002F02A7" w:rsidRDefault="00955E49" w:rsidP="0032040A">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Kontaktujte zákazníka telefonicky, dopisem nebo e-mailem, abyste potvrdili informace poskytnuté po otevření účtu </w:t>
      </w: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p>
    <w:p w:rsidR="00955E49" w:rsidRDefault="00955E49" w:rsidP="00955E49">
      <w:pPr>
        <w:shd w:val="clear" w:color="auto" w:fill="FFFFFF"/>
        <w:spacing w:after="0" w:line="240" w:lineRule="auto"/>
        <w:rPr>
          <w:rFonts w:ascii="Arial" w:eastAsia="Times New Roman" w:hAnsi="Arial" w:cs="Arial"/>
          <w:sz w:val="16"/>
          <w:szCs w:val="16"/>
          <w:lang w:eastAsia="cs-CZ"/>
        </w:rPr>
      </w:pPr>
    </w:p>
    <w:p w:rsidR="0032040A" w:rsidRDefault="0032040A" w:rsidP="00955E49">
      <w:pPr>
        <w:shd w:val="clear" w:color="auto" w:fill="FFFFFF"/>
        <w:spacing w:after="0" w:line="240" w:lineRule="auto"/>
        <w:rPr>
          <w:rFonts w:ascii="Arial" w:eastAsia="Times New Roman" w:hAnsi="Arial" w:cs="Arial"/>
          <w:sz w:val="16"/>
          <w:szCs w:val="16"/>
          <w:lang w:eastAsia="cs-CZ"/>
        </w:rPr>
      </w:pPr>
    </w:p>
    <w:p w:rsidR="0032040A" w:rsidRPr="00955E49" w:rsidRDefault="0032040A" w:rsidP="00955E49">
      <w:pPr>
        <w:shd w:val="clear" w:color="auto" w:fill="FFFFFF"/>
        <w:spacing w:after="0" w:line="240" w:lineRule="auto"/>
        <w:rPr>
          <w:rFonts w:ascii="Arial" w:eastAsia="Times New Roman" w:hAnsi="Arial" w:cs="Arial"/>
          <w:sz w:val="16"/>
          <w:szCs w:val="16"/>
          <w:lang w:eastAsia="cs-CZ"/>
        </w:rPr>
      </w:pPr>
    </w:p>
    <w:p w:rsidR="00955E49" w:rsidRDefault="00955E49" w:rsidP="0032040A">
      <w:pPr>
        <w:pStyle w:val="Odstavecseseznamem"/>
        <w:numPr>
          <w:ilvl w:val="0"/>
          <w:numId w:val="11"/>
        </w:numPr>
        <w:shd w:val="clear" w:color="auto" w:fill="FFFFFF"/>
        <w:spacing w:after="0" w:line="240" w:lineRule="auto"/>
        <w:rPr>
          <w:rFonts w:ascii="Arial" w:eastAsia="Times New Roman" w:hAnsi="Arial" w:cs="Arial"/>
          <w:b/>
          <w:bCs/>
          <w:sz w:val="27"/>
          <w:szCs w:val="27"/>
          <w:u w:val="single"/>
          <w:lang w:eastAsia="cs-CZ"/>
        </w:rPr>
      </w:pPr>
      <w:r w:rsidRPr="0032040A">
        <w:rPr>
          <w:rFonts w:ascii="Arial" w:eastAsia="Times New Roman" w:hAnsi="Arial" w:cs="Arial"/>
          <w:b/>
          <w:bCs/>
          <w:sz w:val="27"/>
          <w:szCs w:val="27"/>
          <w:u w:val="single"/>
          <w:lang w:eastAsia="cs-CZ"/>
        </w:rPr>
        <w:t xml:space="preserve">Ověřování a proces KYC pro </w:t>
      </w:r>
      <w:r w:rsidR="0032040A">
        <w:rPr>
          <w:rFonts w:ascii="Arial" w:eastAsia="Times New Roman" w:hAnsi="Arial" w:cs="Arial"/>
          <w:b/>
          <w:bCs/>
          <w:sz w:val="27"/>
          <w:szCs w:val="27"/>
          <w:u w:val="single"/>
          <w:lang w:eastAsia="cs-CZ"/>
        </w:rPr>
        <w:t>právnické osoby</w:t>
      </w:r>
    </w:p>
    <w:p w:rsidR="0032040A" w:rsidRPr="0032040A" w:rsidRDefault="0032040A" w:rsidP="0032040A">
      <w:pPr>
        <w:pStyle w:val="Odstavecseseznamem"/>
        <w:shd w:val="clear" w:color="auto" w:fill="FFFFFF"/>
        <w:spacing w:after="0" w:line="240" w:lineRule="auto"/>
        <w:ind w:left="502"/>
        <w:rPr>
          <w:rFonts w:ascii="Arial" w:eastAsia="Times New Roman" w:hAnsi="Arial" w:cs="Arial"/>
          <w:b/>
          <w:bCs/>
          <w:sz w:val="27"/>
          <w:szCs w:val="27"/>
          <w:u w:val="single"/>
          <w:lang w:eastAsia="cs-CZ"/>
        </w:rPr>
      </w:pPr>
    </w:p>
    <w:p w:rsidR="0032040A"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Základními principy identifikace zákazníků pro fyzické osoby platí stejná aplikace pro identifikaci zákazníků pro všechny </w:t>
      </w:r>
      <w:r w:rsidR="0032040A" w:rsidRPr="002F02A7">
        <w:rPr>
          <w:rFonts w:ascii="Arial" w:eastAsia="Times New Roman" w:hAnsi="Arial" w:cs="Arial"/>
          <w:sz w:val="18"/>
          <w:szCs w:val="18"/>
          <w:lang w:eastAsia="cs-CZ"/>
        </w:rPr>
        <w:t>právnické osoby</w:t>
      </w:r>
      <w:r w:rsidRPr="002F02A7">
        <w:rPr>
          <w:rFonts w:ascii="Arial" w:eastAsia="Times New Roman" w:hAnsi="Arial" w:cs="Arial"/>
          <w:sz w:val="18"/>
          <w:szCs w:val="18"/>
          <w:lang w:eastAsia="cs-CZ"/>
        </w:rPr>
        <w:t xml:space="preserve">. Pokud se jedná o identifikaci a ověřování fyzických osob, musí být výše uvedené pokyny pro tyto osoby stejné. </w:t>
      </w:r>
      <w:r w:rsidR="0032040A" w:rsidRPr="002F02A7">
        <w:rPr>
          <w:rFonts w:ascii="Arial" w:eastAsia="Times New Roman" w:hAnsi="Arial" w:cs="Arial"/>
          <w:sz w:val="18"/>
          <w:szCs w:val="18"/>
          <w:lang w:eastAsia="cs-CZ"/>
        </w:rPr>
        <w:t xml:space="preserve">Základní úroveň KYC pro právnickou osobu </w:t>
      </w:r>
      <w:r w:rsidRPr="002F02A7">
        <w:rPr>
          <w:rFonts w:ascii="Arial" w:eastAsia="Times New Roman" w:hAnsi="Arial" w:cs="Arial"/>
          <w:sz w:val="18"/>
          <w:szCs w:val="18"/>
          <w:lang w:eastAsia="cs-CZ"/>
        </w:rPr>
        <w:t xml:space="preserve">zahrnuje </w:t>
      </w:r>
      <w:r w:rsidR="0032040A" w:rsidRPr="002F02A7">
        <w:rPr>
          <w:rFonts w:ascii="Arial" w:eastAsia="Times New Roman" w:hAnsi="Arial" w:cs="Arial"/>
          <w:sz w:val="18"/>
          <w:szCs w:val="18"/>
          <w:lang w:eastAsia="cs-CZ"/>
        </w:rPr>
        <w:t xml:space="preserve">KYC pro fyzickou osobu. </w:t>
      </w: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lastRenderedPageBreak/>
        <w:t>U právnických osob (tj. Společností a partnerství) je třeba získat následující</w:t>
      </w:r>
      <w:r w:rsidR="0032040A" w:rsidRPr="002F02A7">
        <w:rPr>
          <w:rFonts w:ascii="Arial" w:eastAsia="Times New Roman" w:hAnsi="Arial" w:cs="Arial"/>
          <w:sz w:val="18"/>
          <w:szCs w:val="18"/>
          <w:lang w:eastAsia="cs-CZ"/>
        </w:rPr>
        <w:t xml:space="preserve"> dodatkové</w:t>
      </w:r>
      <w:r w:rsidRPr="002F02A7">
        <w:rPr>
          <w:rFonts w:ascii="Arial" w:eastAsia="Times New Roman" w:hAnsi="Arial" w:cs="Arial"/>
          <w:sz w:val="18"/>
          <w:szCs w:val="18"/>
          <w:lang w:eastAsia="cs-CZ"/>
        </w:rPr>
        <w:t xml:space="preserve"> informace</w:t>
      </w:r>
      <w:r w:rsidR="0032040A" w:rsidRPr="002F02A7">
        <w:rPr>
          <w:rFonts w:ascii="Arial" w:eastAsia="Times New Roman" w:hAnsi="Arial" w:cs="Arial"/>
          <w:sz w:val="18"/>
          <w:szCs w:val="18"/>
          <w:lang w:eastAsia="cs-CZ"/>
        </w:rPr>
        <w:t xml:space="preserve"> k KYC pro fyzickou osobu, které je zastupitelem společnosti</w:t>
      </w:r>
      <w:r w:rsidRPr="002F02A7">
        <w:rPr>
          <w:rFonts w:ascii="Arial" w:eastAsia="Times New Roman" w:hAnsi="Arial" w:cs="Arial"/>
          <w:sz w:val="18"/>
          <w:szCs w:val="18"/>
          <w:lang w:eastAsia="cs-CZ"/>
        </w:rPr>
        <w:t>:</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Název instituce.</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Hlavní místo podnikatelské činnosti instituce.</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poštovní adresa instituce.</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Kontaktní telefonní a faxová čísla.</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Některá forma oficiálního identifikačního čísla, je-li k dispozici (např. Daňové identifikační číslo).</w:t>
      </w:r>
    </w:p>
    <w:p w:rsidR="0032040A"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originál nebo ověřená kopie osvědčení o zakládání a stanov a stanov.</w:t>
      </w:r>
    </w:p>
    <w:p w:rsidR="00955E49" w:rsidRPr="002F02A7" w:rsidRDefault="00955E49" w:rsidP="00955E49">
      <w:pPr>
        <w:pStyle w:val="Odstavecseseznamem"/>
        <w:numPr>
          <w:ilvl w:val="0"/>
          <w:numId w:val="14"/>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Povaha a účel podnikání a jeho legitimita.</w:t>
      </w:r>
    </w:p>
    <w:p w:rsidR="0032040A" w:rsidRPr="002F02A7" w:rsidRDefault="0032040A" w:rsidP="00955E49">
      <w:pPr>
        <w:shd w:val="clear" w:color="auto" w:fill="FFFFFF"/>
        <w:spacing w:after="0" w:line="240" w:lineRule="auto"/>
        <w:rPr>
          <w:rFonts w:ascii="Arial" w:eastAsia="Times New Roman" w:hAnsi="Arial" w:cs="Arial"/>
          <w:sz w:val="18"/>
          <w:szCs w:val="18"/>
          <w:lang w:eastAsia="cs-CZ"/>
        </w:rPr>
      </w:pPr>
    </w:p>
    <w:p w:rsidR="0032040A" w:rsidRPr="002F02A7" w:rsidRDefault="0032040A"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T</w:t>
      </w:r>
      <w:r w:rsidR="00955E49" w:rsidRPr="002F02A7">
        <w:rPr>
          <w:rFonts w:ascii="Arial" w:eastAsia="Times New Roman" w:hAnsi="Arial" w:cs="Arial"/>
          <w:sz w:val="18"/>
          <w:szCs w:val="18"/>
          <w:lang w:eastAsia="cs-CZ"/>
        </w:rPr>
        <w:t>yto informace by měly být ověřeny alespoň jednou z následujících metod</w:t>
      </w:r>
      <w:r w:rsidRPr="002F02A7">
        <w:rPr>
          <w:rFonts w:ascii="Arial" w:eastAsia="Times New Roman" w:hAnsi="Arial" w:cs="Arial"/>
          <w:sz w:val="18"/>
          <w:szCs w:val="18"/>
          <w:lang w:eastAsia="cs-CZ"/>
        </w:rPr>
        <w:t>:</w:t>
      </w:r>
    </w:p>
    <w:p w:rsidR="0032040A" w:rsidRPr="002F02A7" w:rsidRDefault="0032040A" w:rsidP="00955E49">
      <w:pPr>
        <w:shd w:val="clear" w:color="auto" w:fill="FFFFFF"/>
        <w:spacing w:after="0" w:line="240" w:lineRule="auto"/>
        <w:rPr>
          <w:rFonts w:ascii="Arial" w:eastAsia="Times New Roman" w:hAnsi="Arial" w:cs="Arial"/>
          <w:sz w:val="18"/>
          <w:szCs w:val="18"/>
          <w:lang w:eastAsia="cs-CZ"/>
        </w:rPr>
      </w:pPr>
    </w:p>
    <w:p w:rsidR="0032040A" w:rsidRPr="002F02A7" w:rsidRDefault="00955E49" w:rsidP="00955E49">
      <w:pPr>
        <w:pStyle w:val="Odstavecseseznamem"/>
        <w:numPr>
          <w:ilvl w:val="0"/>
          <w:numId w:val="18"/>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U zavedených právnických osob - přezkoumání kopie poslední zprávy a účtů (auditované, pokud jsou k dispozici).</w:t>
      </w:r>
    </w:p>
    <w:p w:rsidR="0032040A" w:rsidRPr="002F02A7" w:rsidRDefault="00955E49" w:rsidP="00955E49">
      <w:pPr>
        <w:pStyle w:val="Odstavecseseznamem"/>
        <w:numPr>
          <w:ilvl w:val="0"/>
          <w:numId w:val="18"/>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 Proveďte vyhledávání společností a / nebo jiné obchodní dotazy, abyste zjistili, že instituce nebyla, nebo není v procesu, že byla rozpuštěna, zrušena, zrušena nebo ukončena.</w:t>
      </w:r>
    </w:p>
    <w:p w:rsidR="0032040A" w:rsidRPr="002F02A7" w:rsidRDefault="00955E49" w:rsidP="00955E49">
      <w:pPr>
        <w:pStyle w:val="Odstavecseseznamem"/>
        <w:numPr>
          <w:ilvl w:val="0"/>
          <w:numId w:val="18"/>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 Využít nezávislý proces ověřování informací, například přístup k veřejným a soukromým databázím.</w:t>
      </w:r>
    </w:p>
    <w:p w:rsidR="0032040A" w:rsidRPr="002F02A7" w:rsidRDefault="00955E49" w:rsidP="00955E49">
      <w:pPr>
        <w:pStyle w:val="Odstavecseseznamem"/>
        <w:numPr>
          <w:ilvl w:val="0"/>
          <w:numId w:val="18"/>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Získat předchozí bankovní reference.</w:t>
      </w:r>
    </w:p>
    <w:p w:rsidR="0032040A" w:rsidRPr="002F02A7" w:rsidRDefault="00955E49" w:rsidP="00955E49">
      <w:pPr>
        <w:pStyle w:val="Odstavecseseznamem"/>
        <w:numPr>
          <w:ilvl w:val="0"/>
          <w:numId w:val="18"/>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Návštěva právnické osoby, pokud je to možné.</w:t>
      </w:r>
    </w:p>
    <w:p w:rsidR="002A216A" w:rsidRPr="002F02A7" w:rsidRDefault="00955E49" w:rsidP="00955E49">
      <w:pPr>
        <w:pStyle w:val="Odstavecseseznamem"/>
        <w:numPr>
          <w:ilvl w:val="0"/>
          <w:numId w:val="18"/>
        </w:num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Kontaktování právnické osoby telefonicky, poštou nebo e-mailem.</w:t>
      </w:r>
    </w:p>
    <w:p w:rsidR="002A216A" w:rsidRPr="002F02A7" w:rsidRDefault="002A216A" w:rsidP="002A216A">
      <w:pPr>
        <w:shd w:val="clear" w:color="auto" w:fill="FFFFFF"/>
        <w:spacing w:after="0" w:line="240" w:lineRule="auto"/>
        <w:rPr>
          <w:rFonts w:ascii="Arial" w:eastAsia="Times New Roman" w:hAnsi="Arial" w:cs="Arial"/>
          <w:sz w:val="18"/>
          <w:szCs w:val="18"/>
          <w:lang w:eastAsia="cs-CZ"/>
        </w:rPr>
      </w:pPr>
    </w:p>
    <w:p w:rsidR="002A216A" w:rsidRPr="002F02A7" w:rsidRDefault="002A216A" w:rsidP="002A216A">
      <w:pPr>
        <w:shd w:val="clear" w:color="auto" w:fill="FFFFFF"/>
        <w:spacing w:after="0" w:line="240" w:lineRule="auto"/>
        <w:rPr>
          <w:rFonts w:ascii="Arial" w:eastAsia="Times New Roman" w:hAnsi="Arial" w:cs="Arial"/>
          <w:sz w:val="18"/>
          <w:szCs w:val="18"/>
          <w:lang w:eastAsia="cs-CZ"/>
        </w:rPr>
      </w:pPr>
    </w:p>
    <w:p w:rsidR="0032040A" w:rsidRDefault="0032040A" w:rsidP="002A216A">
      <w:pPr>
        <w:shd w:val="clear" w:color="auto" w:fill="FFFFFF"/>
        <w:spacing w:after="0" w:line="240" w:lineRule="auto"/>
        <w:rPr>
          <w:rFonts w:ascii="Arial" w:eastAsia="Times New Roman" w:hAnsi="Arial" w:cs="Arial"/>
          <w:sz w:val="16"/>
          <w:szCs w:val="16"/>
          <w:lang w:eastAsia="cs-CZ"/>
        </w:rPr>
      </w:pPr>
    </w:p>
    <w:p w:rsidR="002A216A" w:rsidRDefault="002A216A" w:rsidP="002A216A">
      <w:pPr>
        <w:shd w:val="clear" w:color="auto" w:fill="FFFFFF"/>
        <w:spacing w:after="0" w:line="240" w:lineRule="auto"/>
        <w:rPr>
          <w:rFonts w:ascii="Arial" w:eastAsia="Times New Roman" w:hAnsi="Arial" w:cs="Arial"/>
          <w:sz w:val="16"/>
          <w:szCs w:val="16"/>
          <w:lang w:eastAsia="cs-CZ"/>
        </w:rPr>
      </w:pPr>
    </w:p>
    <w:p w:rsidR="002F02A7" w:rsidRDefault="002F02A7" w:rsidP="002A216A">
      <w:pPr>
        <w:shd w:val="clear" w:color="auto" w:fill="FFFFFF"/>
        <w:spacing w:after="0" w:line="240" w:lineRule="auto"/>
        <w:rPr>
          <w:rFonts w:ascii="Arial" w:eastAsia="Times New Roman" w:hAnsi="Arial" w:cs="Arial"/>
          <w:sz w:val="11"/>
          <w:szCs w:val="11"/>
          <w:lang w:eastAsia="cs-CZ"/>
        </w:rPr>
      </w:pPr>
    </w:p>
    <w:p w:rsidR="002A216A" w:rsidRDefault="002A216A" w:rsidP="002A216A">
      <w:pPr>
        <w:shd w:val="clear" w:color="auto" w:fill="FFFFFF"/>
        <w:spacing w:after="0" w:line="240" w:lineRule="auto"/>
        <w:rPr>
          <w:rFonts w:ascii="Arial" w:eastAsia="Times New Roman" w:hAnsi="Arial" w:cs="Arial"/>
          <w:sz w:val="11"/>
          <w:szCs w:val="11"/>
          <w:lang w:eastAsia="cs-CZ"/>
        </w:rPr>
      </w:pPr>
    </w:p>
    <w:p w:rsidR="00955E49" w:rsidRDefault="00955E49" w:rsidP="0032040A">
      <w:pPr>
        <w:pStyle w:val="Odstavecseseznamem"/>
        <w:numPr>
          <w:ilvl w:val="0"/>
          <w:numId w:val="11"/>
        </w:numPr>
        <w:shd w:val="clear" w:color="auto" w:fill="FFFFFF"/>
        <w:spacing w:after="0" w:line="240" w:lineRule="auto"/>
        <w:rPr>
          <w:rFonts w:ascii="Arial" w:eastAsia="Times New Roman" w:hAnsi="Arial" w:cs="Arial"/>
          <w:b/>
          <w:bCs/>
          <w:sz w:val="27"/>
          <w:szCs w:val="27"/>
          <w:u w:val="single"/>
          <w:lang w:eastAsia="cs-CZ"/>
        </w:rPr>
      </w:pPr>
      <w:r w:rsidRPr="0032040A">
        <w:rPr>
          <w:rFonts w:ascii="Arial" w:eastAsia="Times New Roman" w:hAnsi="Arial" w:cs="Arial"/>
          <w:b/>
          <w:bCs/>
          <w:sz w:val="27"/>
          <w:szCs w:val="27"/>
          <w:u w:val="single"/>
          <w:lang w:eastAsia="cs-CZ"/>
        </w:rPr>
        <w:t>Monitorování aktivity klienta</w:t>
      </w:r>
    </w:p>
    <w:p w:rsidR="0032040A" w:rsidRPr="0032040A" w:rsidRDefault="0032040A" w:rsidP="0032040A">
      <w:pPr>
        <w:pStyle w:val="Odstavecseseznamem"/>
        <w:shd w:val="clear" w:color="auto" w:fill="FFFFFF"/>
        <w:spacing w:after="0" w:line="240" w:lineRule="auto"/>
        <w:ind w:left="502"/>
        <w:rPr>
          <w:rFonts w:ascii="Arial" w:eastAsia="Times New Roman" w:hAnsi="Arial" w:cs="Arial"/>
          <w:b/>
          <w:bCs/>
          <w:sz w:val="27"/>
          <w:szCs w:val="27"/>
          <w:u w:val="single"/>
          <w:lang w:eastAsia="cs-CZ"/>
        </w:rPr>
      </w:pP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Monitorování transakcí a činností musí být prováděno po celou dobu vztahu s klientem, aby bylo zajištěno, že transakce a prováděná činnost jsou v souladu s klienty KYC, jejich podnikání, zdrojem finančních prostředků a zdrojem bohatství. Monitorování složitých, neobvyklých a velkých transakcí nebo neobvyklých vzorů transakcí musí být přezkoumáno a zaznamenáno písemně. Tyto zkoušky jsou založeny na pozadí a účelu těchto transakcí.</w:t>
      </w:r>
      <w:r w:rsidR="0032040A" w:rsidRPr="002F02A7">
        <w:rPr>
          <w:rFonts w:ascii="Arial" w:eastAsia="Times New Roman" w:hAnsi="Arial" w:cs="Arial"/>
          <w:sz w:val="18"/>
          <w:szCs w:val="18"/>
          <w:lang w:eastAsia="cs-CZ"/>
        </w:rPr>
        <w:t xml:space="preserve"> Společnost transakce monitoruje v rámci nezbytných zákonů.</w:t>
      </w:r>
    </w:p>
    <w:p w:rsidR="00955E49" w:rsidRPr="00955E49" w:rsidRDefault="00955E49" w:rsidP="00955E49">
      <w:pPr>
        <w:shd w:val="clear" w:color="auto" w:fill="FFFFFF"/>
        <w:spacing w:after="0" w:line="240" w:lineRule="auto"/>
        <w:rPr>
          <w:rFonts w:ascii="Arial" w:eastAsia="Times New Roman" w:hAnsi="Arial" w:cs="Arial"/>
          <w:sz w:val="16"/>
          <w:szCs w:val="16"/>
          <w:lang w:eastAsia="cs-CZ"/>
        </w:rPr>
      </w:pPr>
    </w:p>
    <w:p w:rsidR="00955E49" w:rsidRPr="00955E49" w:rsidRDefault="00955E49" w:rsidP="00955E49">
      <w:pPr>
        <w:shd w:val="clear" w:color="auto" w:fill="FFFFFF"/>
        <w:spacing w:after="0" w:line="240" w:lineRule="auto"/>
        <w:rPr>
          <w:rFonts w:ascii="Arial" w:eastAsia="Times New Roman" w:hAnsi="Arial" w:cs="Arial"/>
          <w:sz w:val="16"/>
          <w:szCs w:val="16"/>
          <w:lang w:eastAsia="cs-CZ"/>
        </w:rPr>
      </w:pPr>
    </w:p>
    <w:p w:rsidR="00955E49" w:rsidRPr="0032040A" w:rsidRDefault="00955E49" w:rsidP="00955E49">
      <w:pPr>
        <w:pStyle w:val="Odstavecseseznamem"/>
        <w:numPr>
          <w:ilvl w:val="0"/>
          <w:numId w:val="11"/>
        </w:numPr>
        <w:shd w:val="clear" w:color="auto" w:fill="FFFFFF"/>
        <w:spacing w:after="0" w:line="240" w:lineRule="auto"/>
        <w:rPr>
          <w:rFonts w:ascii="Arial" w:eastAsia="Times New Roman" w:hAnsi="Arial" w:cs="Arial"/>
          <w:b/>
          <w:bCs/>
          <w:sz w:val="27"/>
          <w:szCs w:val="27"/>
          <w:u w:val="single"/>
          <w:lang w:eastAsia="cs-CZ"/>
        </w:rPr>
      </w:pPr>
      <w:r w:rsidRPr="0032040A">
        <w:rPr>
          <w:rFonts w:ascii="Arial" w:eastAsia="Times New Roman" w:hAnsi="Arial" w:cs="Arial"/>
          <w:b/>
          <w:bCs/>
          <w:sz w:val="27"/>
          <w:szCs w:val="27"/>
          <w:u w:val="single"/>
          <w:lang w:eastAsia="cs-CZ"/>
        </w:rPr>
        <w:t>Řízení</w:t>
      </w:r>
    </w:p>
    <w:p w:rsidR="00955E49" w:rsidRPr="00955E49" w:rsidRDefault="00955E49" w:rsidP="00955E49">
      <w:pPr>
        <w:shd w:val="clear" w:color="auto" w:fill="FFFFFF"/>
        <w:spacing w:after="0" w:line="240" w:lineRule="auto"/>
        <w:rPr>
          <w:rFonts w:ascii="Arial" w:eastAsia="Times New Roman" w:hAnsi="Arial" w:cs="Arial"/>
          <w:sz w:val="16"/>
          <w:szCs w:val="16"/>
          <w:lang w:eastAsia="cs-CZ"/>
        </w:rPr>
      </w:pPr>
    </w:p>
    <w:p w:rsidR="00955E49" w:rsidRPr="002F02A7" w:rsidRDefault="00DC43D4"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Kontrola je řízena na základě vyžádání příslušného orgánu, finanční instituce nebo v případě červené vlajky. V takovém </w:t>
      </w:r>
      <w:proofErr w:type="spellStart"/>
      <w:r w:rsidRPr="002F02A7">
        <w:rPr>
          <w:rFonts w:ascii="Arial" w:eastAsia="Times New Roman" w:hAnsi="Arial" w:cs="Arial"/>
          <w:sz w:val="18"/>
          <w:szCs w:val="18"/>
          <w:lang w:eastAsia="cs-CZ"/>
        </w:rPr>
        <w:t>příapdě</w:t>
      </w:r>
      <w:proofErr w:type="spellEnd"/>
      <w:r w:rsidRPr="002F02A7">
        <w:rPr>
          <w:rFonts w:ascii="Arial" w:eastAsia="Times New Roman" w:hAnsi="Arial" w:cs="Arial"/>
          <w:sz w:val="18"/>
          <w:szCs w:val="18"/>
          <w:lang w:eastAsia="cs-CZ"/>
        </w:rPr>
        <w:t xml:space="preserve"> </w:t>
      </w:r>
      <w:r w:rsidR="00955E49" w:rsidRPr="002F02A7">
        <w:rPr>
          <w:rFonts w:ascii="Arial" w:eastAsia="Times New Roman" w:hAnsi="Arial" w:cs="Arial"/>
          <w:sz w:val="18"/>
          <w:szCs w:val="18"/>
          <w:lang w:eastAsia="cs-CZ"/>
        </w:rPr>
        <w:t xml:space="preserve"> je zákazník povinen vysvětlit všechny kroky spojené s kontrolou.</w:t>
      </w: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V případě, že společnost </w:t>
      </w:r>
      <w:r w:rsidR="00DC43D4" w:rsidRPr="002F02A7">
        <w:rPr>
          <w:rFonts w:ascii="Arial" w:eastAsia="Times New Roman" w:hAnsi="Arial" w:cs="Arial"/>
          <w:sz w:val="18"/>
          <w:szCs w:val="18"/>
          <w:lang w:eastAsia="cs-CZ"/>
        </w:rPr>
        <w:t xml:space="preserve">je kontrolována </w:t>
      </w:r>
      <w:r w:rsidRPr="002F02A7">
        <w:rPr>
          <w:rFonts w:ascii="Arial" w:eastAsia="Times New Roman" w:hAnsi="Arial" w:cs="Arial"/>
          <w:sz w:val="18"/>
          <w:szCs w:val="18"/>
          <w:lang w:eastAsia="cs-CZ"/>
        </w:rPr>
        <w:t>bankovní institucí, společnost nenese odpovědnost za to, jak dlouho to může trvat. V případě kontroly ze strany třetí strany (která může zmrazit zákazníkovi peníze - jakoukoli bankovní instituci), když zákazník odmítne kontrolu (prostředky odmítnout poskytnout zdroj peněžních prostředků nebo účel transakce) a společnost nebude moci vysvětlit partnerovi potřebné údaje o transakci, peníze mohou být drženy touto třetí stranou až do vysvětlení situace. Zákazník souhlasí s tím, že společnost nese odpovědnost za tyto problém</w:t>
      </w:r>
      <w:r w:rsidR="00DC43D4" w:rsidRPr="002F02A7">
        <w:rPr>
          <w:rFonts w:ascii="Arial" w:eastAsia="Times New Roman" w:hAnsi="Arial" w:cs="Arial"/>
          <w:sz w:val="18"/>
          <w:szCs w:val="18"/>
          <w:lang w:eastAsia="cs-CZ"/>
        </w:rPr>
        <w:t xml:space="preserve">y (protože v takový moment nemá žádný nástroj ke </w:t>
      </w:r>
      <w:r w:rsidRPr="002F02A7">
        <w:rPr>
          <w:rFonts w:ascii="Arial" w:eastAsia="Times New Roman" w:hAnsi="Arial" w:cs="Arial"/>
          <w:sz w:val="18"/>
          <w:szCs w:val="18"/>
          <w:lang w:eastAsia="cs-CZ"/>
        </w:rPr>
        <w:t>změně).</w:t>
      </w:r>
    </w:p>
    <w:p w:rsidR="00DC43D4" w:rsidRPr="002F02A7" w:rsidRDefault="00DC43D4" w:rsidP="00955E49">
      <w:pPr>
        <w:shd w:val="clear" w:color="auto" w:fill="FFFFFF"/>
        <w:spacing w:after="0" w:line="240" w:lineRule="auto"/>
        <w:rPr>
          <w:rFonts w:ascii="Arial" w:eastAsia="Times New Roman" w:hAnsi="Arial" w:cs="Arial"/>
          <w:sz w:val="18"/>
          <w:szCs w:val="18"/>
          <w:lang w:eastAsia="cs-CZ"/>
        </w:rPr>
      </w:pPr>
    </w:p>
    <w:p w:rsidR="00955E49" w:rsidRPr="00955E49" w:rsidRDefault="00955E49" w:rsidP="00955E49">
      <w:pPr>
        <w:shd w:val="clear" w:color="auto" w:fill="FFFFFF"/>
        <w:spacing w:after="0" w:line="240" w:lineRule="auto"/>
        <w:rPr>
          <w:rFonts w:ascii="Arial" w:eastAsia="Times New Roman" w:hAnsi="Arial" w:cs="Arial"/>
          <w:sz w:val="16"/>
          <w:szCs w:val="16"/>
          <w:lang w:eastAsia="cs-CZ"/>
        </w:rPr>
      </w:pPr>
    </w:p>
    <w:p w:rsidR="00955E49" w:rsidRDefault="00955E49" w:rsidP="0032040A">
      <w:pPr>
        <w:pStyle w:val="Odstavecseseznamem"/>
        <w:numPr>
          <w:ilvl w:val="0"/>
          <w:numId w:val="11"/>
        </w:numPr>
        <w:shd w:val="clear" w:color="auto" w:fill="FFFFFF"/>
        <w:spacing w:after="0" w:line="240" w:lineRule="auto"/>
        <w:rPr>
          <w:rFonts w:ascii="Arial" w:eastAsia="Times New Roman" w:hAnsi="Arial" w:cs="Arial"/>
          <w:b/>
          <w:bCs/>
          <w:sz w:val="27"/>
          <w:szCs w:val="27"/>
          <w:u w:val="single"/>
          <w:lang w:eastAsia="cs-CZ"/>
        </w:rPr>
      </w:pPr>
      <w:r w:rsidRPr="0032040A">
        <w:rPr>
          <w:rFonts w:ascii="Arial" w:eastAsia="Times New Roman" w:hAnsi="Arial" w:cs="Arial"/>
          <w:b/>
          <w:bCs/>
          <w:sz w:val="27"/>
          <w:szCs w:val="27"/>
          <w:u w:val="single"/>
          <w:lang w:eastAsia="cs-CZ"/>
        </w:rPr>
        <w:t>Uchovávání dat</w:t>
      </w:r>
    </w:p>
    <w:p w:rsidR="00C650E3" w:rsidRPr="0032040A" w:rsidRDefault="00C650E3" w:rsidP="00C650E3">
      <w:pPr>
        <w:pStyle w:val="Odstavecseseznamem"/>
        <w:shd w:val="clear" w:color="auto" w:fill="FFFFFF"/>
        <w:spacing w:after="0" w:line="240" w:lineRule="auto"/>
        <w:ind w:left="502"/>
        <w:rPr>
          <w:rFonts w:ascii="Arial" w:eastAsia="Times New Roman" w:hAnsi="Arial" w:cs="Arial"/>
          <w:b/>
          <w:bCs/>
          <w:sz w:val="27"/>
          <w:szCs w:val="27"/>
          <w:u w:val="single"/>
          <w:lang w:eastAsia="cs-CZ"/>
        </w:rPr>
      </w:pPr>
    </w:p>
    <w:p w:rsidR="00955E49" w:rsidRPr="002F02A7" w:rsidRDefault="00C650E3"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 xml:space="preserve">Databáze s informacemi o činnosti platformy </w:t>
      </w:r>
      <w:r w:rsidR="00955E49" w:rsidRPr="002F02A7">
        <w:rPr>
          <w:rFonts w:ascii="Arial" w:eastAsia="Times New Roman" w:hAnsi="Arial" w:cs="Arial"/>
          <w:sz w:val="18"/>
          <w:szCs w:val="18"/>
          <w:lang w:eastAsia="cs-CZ"/>
        </w:rPr>
        <w:t>se uchovává elektronicky prostřednictvím zabezpečeného online úložiště.</w:t>
      </w:r>
    </w:p>
    <w:p w:rsidR="00955E49" w:rsidRPr="002F02A7" w:rsidRDefault="00955E49" w:rsidP="00955E49">
      <w:pPr>
        <w:shd w:val="clear" w:color="auto" w:fill="FFFFFF"/>
        <w:spacing w:after="0" w:line="240" w:lineRule="auto"/>
        <w:rPr>
          <w:rFonts w:ascii="Arial" w:eastAsia="Times New Roman" w:hAnsi="Arial" w:cs="Arial"/>
          <w:sz w:val="18"/>
          <w:szCs w:val="18"/>
          <w:lang w:eastAsia="cs-CZ"/>
        </w:rPr>
      </w:pPr>
      <w:r w:rsidRPr="002F02A7">
        <w:rPr>
          <w:rFonts w:ascii="Arial" w:eastAsia="Times New Roman" w:hAnsi="Arial" w:cs="Arial"/>
          <w:sz w:val="18"/>
          <w:szCs w:val="18"/>
          <w:lang w:eastAsia="cs-CZ"/>
        </w:rPr>
        <w:t>Každý klient má složku vytvořen</w:t>
      </w:r>
      <w:r w:rsidR="00C650E3" w:rsidRPr="002F02A7">
        <w:rPr>
          <w:rFonts w:ascii="Arial" w:eastAsia="Times New Roman" w:hAnsi="Arial" w:cs="Arial"/>
          <w:sz w:val="18"/>
          <w:szCs w:val="18"/>
          <w:lang w:eastAsia="cs-CZ"/>
        </w:rPr>
        <w:t>ou pod svým uživatelským jménem v administraci provozovatele.</w:t>
      </w:r>
      <w:r w:rsidRPr="002F02A7">
        <w:rPr>
          <w:rFonts w:ascii="Arial" w:eastAsia="Times New Roman" w:hAnsi="Arial" w:cs="Arial"/>
          <w:sz w:val="18"/>
          <w:szCs w:val="18"/>
          <w:lang w:eastAsia="cs-CZ"/>
        </w:rPr>
        <w:t xml:space="preserve"> Veškerá dokumentace KYC a protokoly o kontrole zabezpečení jsou uloženy v </w:t>
      </w:r>
      <w:proofErr w:type="spellStart"/>
      <w:r w:rsidRPr="002F02A7">
        <w:rPr>
          <w:rFonts w:ascii="Arial" w:eastAsia="Times New Roman" w:hAnsi="Arial" w:cs="Arial"/>
          <w:sz w:val="18"/>
          <w:szCs w:val="18"/>
          <w:lang w:eastAsia="cs-CZ"/>
        </w:rPr>
        <w:t>podsložce</w:t>
      </w:r>
      <w:proofErr w:type="spellEnd"/>
      <w:r w:rsidRPr="002F02A7">
        <w:rPr>
          <w:rFonts w:ascii="Arial" w:eastAsia="Times New Roman" w:hAnsi="Arial" w:cs="Arial"/>
          <w:sz w:val="18"/>
          <w:szCs w:val="18"/>
          <w:lang w:eastAsia="cs-CZ"/>
        </w:rPr>
        <w:t xml:space="preserve"> pro dokumentaci. Dokumentace týkající se platebních transakcí je uložena v další </w:t>
      </w:r>
      <w:proofErr w:type="spellStart"/>
      <w:r w:rsidRPr="002F02A7">
        <w:rPr>
          <w:rFonts w:ascii="Arial" w:eastAsia="Times New Roman" w:hAnsi="Arial" w:cs="Arial"/>
          <w:sz w:val="18"/>
          <w:szCs w:val="18"/>
          <w:lang w:eastAsia="cs-CZ"/>
        </w:rPr>
        <w:t>podsložce</w:t>
      </w:r>
      <w:proofErr w:type="spellEnd"/>
      <w:r w:rsidRPr="002F02A7">
        <w:rPr>
          <w:rFonts w:ascii="Arial" w:eastAsia="Times New Roman" w:hAnsi="Arial" w:cs="Arial"/>
          <w:sz w:val="18"/>
          <w:szCs w:val="18"/>
          <w:lang w:eastAsia="cs-CZ"/>
        </w:rPr>
        <w:t xml:space="preserve"> pro platby a přehledy.</w:t>
      </w:r>
    </w:p>
    <w:p w:rsidR="002A216A" w:rsidRPr="00955E49" w:rsidRDefault="00C650E3" w:rsidP="00955E49">
      <w:pPr>
        <w:shd w:val="clear" w:color="auto" w:fill="FFFFFF"/>
        <w:spacing w:after="0" w:line="240" w:lineRule="auto"/>
        <w:rPr>
          <w:rFonts w:ascii="Arial" w:eastAsia="Times New Roman" w:hAnsi="Arial" w:cs="Arial"/>
          <w:sz w:val="16"/>
          <w:szCs w:val="16"/>
          <w:lang w:eastAsia="cs-CZ"/>
        </w:rPr>
      </w:pPr>
      <w:r w:rsidRPr="002F02A7">
        <w:rPr>
          <w:rFonts w:ascii="Arial" w:eastAsia="Times New Roman" w:hAnsi="Arial" w:cs="Arial"/>
          <w:sz w:val="18"/>
          <w:szCs w:val="18"/>
          <w:lang w:eastAsia="cs-CZ"/>
        </w:rPr>
        <w:t xml:space="preserve">Dokumentace je neveřejná a je přístupná pouze pověřeným orgánům na zákonné </w:t>
      </w:r>
      <w:proofErr w:type="spellStart"/>
      <w:r w:rsidRPr="002F02A7">
        <w:rPr>
          <w:rFonts w:ascii="Arial" w:eastAsia="Times New Roman" w:hAnsi="Arial" w:cs="Arial"/>
          <w:sz w:val="18"/>
          <w:szCs w:val="18"/>
          <w:lang w:eastAsia="cs-CZ"/>
        </w:rPr>
        <w:t>officiální</w:t>
      </w:r>
      <w:proofErr w:type="spellEnd"/>
      <w:r w:rsidRPr="002F02A7">
        <w:rPr>
          <w:rFonts w:ascii="Arial" w:eastAsia="Times New Roman" w:hAnsi="Arial" w:cs="Arial"/>
          <w:sz w:val="18"/>
          <w:szCs w:val="18"/>
          <w:lang w:eastAsia="cs-CZ"/>
        </w:rPr>
        <w:t xml:space="preserve"> vyžádání nebo provozovateli </w:t>
      </w:r>
      <w:proofErr w:type="spellStart"/>
      <w:r w:rsidRPr="002F02A7">
        <w:rPr>
          <w:rFonts w:ascii="Arial" w:eastAsia="Times New Roman" w:hAnsi="Arial" w:cs="Arial"/>
          <w:sz w:val="18"/>
          <w:szCs w:val="18"/>
          <w:lang w:eastAsia="cs-CZ"/>
        </w:rPr>
        <w:t>ro</w:t>
      </w:r>
      <w:proofErr w:type="spellEnd"/>
      <w:r w:rsidRPr="002F02A7">
        <w:rPr>
          <w:rFonts w:ascii="Arial" w:eastAsia="Times New Roman" w:hAnsi="Arial" w:cs="Arial"/>
          <w:sz w:val="18"/>
          <w:szCs w:val="18"/>
          <w:lang w:eastAsia="cs-CZ"/>
        </w:rPr>
        <w:t xml:space="preserve"> účel ověření klienta.</w:t>
      </w:r>
      <w:r w:rsidR="004B09B5" w:rsidRPr="002F02A7">
        <w:rPr>
          <w:rFonts w:ascii="Arial" w:eastAsia="Times New Roman" w:hAnsi="Arial" w:cs="Arial"/>
          <w:sz w:val="18"/>
          <w:szCs w:val="18"/>
          <w:lang w:eastAsia="cs-CZ"/>
        </w:rPr>
        <w:t xml:space="preserve"> Další informace o uchovávání dat jsou poznamenány v přehledu o ochraně osobních údajů</w:t>
      </w:r>
      <w:r w:rsidR="004B09B5">
        <w:rPr>
          <w:rFonts w:ascii="Arial" w:eastAsia="Times New Roman" w:hAnsi="Arial" w:cs="Arial"/>
          <w:sz w:val="16"/>
          <w:szCs w:val="16"/>
          <w:lang w:eastAsia="cs-CZ"/>
        </w:rPr>
        <w:t xml:space="preserve">. </w:t>
      </w:r>
      <w:r>
        <w:rPr>
          <w:rFonts w:ascii="Arial" w:eastAsia="Times New Roman" w:hAnsi="Arial" w:cs="Arial"/>
          <w:sz w:val="16"/>
          <w:szCs w:val="16"/>
          <w:lang w:eastAsia="cs-CZ"/>
        </w:rPr>
        <w:t xml:space="preserve"> </w:t>
      </w:r>
    </w:p>
    <w:sectPr w:rsidR="002A216A" w:rsidRPr="00955E49" w:rsidSect="00144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DA3"/>
    <w:multiLevelType w:val="multilevel"/>
    <w:tmpl w:val="A0625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C041B4"/>
    <w:multiLevelType w:val="hybridMultilevel"/>
    <w:tmpl w:val="42D686BC"/>
    <w:lvl w:ilvl="0" w:tplc="5E96FC58">
      <w:start w:val="1"/>
      <w:numFmt w:val="upperRoman"/>
      <w:lvlText w:val="%1."/>
      <w:lvlJc w:val="right"/>
      <w:pPr>
        <w:ind w:left="502" w:hanging="360"/>
      </w:pPr>
      <w:rPr>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C84556"/>
    <w:multiLevelType w:val="multilevel"/>
    <w:tmpl w:val="722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7D4BE1"/>
    <w:multiLevelType w:val="multilevel"/>
    <w:tmpl w:val="82A22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DC6FCE"/>
    <w:multiLevelType w:val="multilevel"/>
    <w:tmpl w:val="293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5F7E60"/>
    <w:multiLevelType w:val="multilevel"/>
    <w:tmpl w:val="0F7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C83497"/>
    <w:multiLevelType w:val="multilevel"/>
    <w:tmpl w:val="8F1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3F5A64"/>
    <w:multiLevelType w:val="hybridMultilevel"/>
    <w:tmpl w:val="1494C0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68B2DFC"/>
    <w:multiLevelType w:val="hybridMultilevel"/>
    <w:tmpl w:val="CCD6E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D83D23"/>
    <w:multiLevelType w:val="hybridMultilevel"/>
    <w:tmpl w:val="38EE7AD8"/>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0">
    <w:nsid w:val="3BA309B8"/>
    <w:multiLevelType w:val="multilevel"/>
    <w:tmpl w:val="FB5A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DB4A32"/>
    <w:multiLevelType w:val="hybridMultilevel"/>
    <w:tmpl w:val="04DCA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04F4967"/>
    <w:multiLevelType w:val="hybridMultilevel"/>
    <w:tmpl w:val="63983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88023A5"/>
    <w:multiLevelType w:val="hybridMultilevel"/>
    <w:tmpl w:val="647684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A56A4C"/>
    <w:multiLevelType w:val="multilevel"/>
    <w:tmpl w:val="5D02B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FB1630"/>
    <w:multiLevelType w:val="hybridMultilevel"/>
    <w:tmpl w:val="C058850A"/>
    <w:lvl w:ilvl="0" w:tplc="AC8869BA">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A773DE"/>
    <w:multiLevelType w:val="hybridMultilevel"/>
    <w:tmpl w:val="6B62E5E6"/>
    <w:lvl w:ilvl="0" w:tplc="AC8869BA">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2C13BD"/>
    <w:multiLevelType w:val="multilevel"/>
    <w:tmpl w:val="EF461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2"/>
  </w:num>
  <w:num w:numId="5">
    <w:abstractNumId w:val="10"/>
  </w:num>
  <w:num w:numId="6">
    <w:abstractNumId w:val="14"/>
  </w:num>
  <w:num w:numId="7">
    <w:abstractNumId w:val="17"/>
  </w:num>
  <w:num w:numId="8">
    <w:abstractNumId w:val="3"/>
  </w:num>
  <w:num w:numId="9">
    <w:abstractNumId w:val="0"/>
  </w:num>
  <w:num w:numId="10">
    <w:abstractNumId w:val="13"/>
  </w:num>
  <w:num w:numId="11">
    <w:abstractNumId w:val="1"/>
  </w:num>
  <w:num w:numId="12">
    <w:abstractNumId w:val="8"/>
  </w:num>
  <w:num w:numId="13">
    <w:abstractNumId w:val="9"/>
  </w:num>
  <w:num w:numId="14">
    <w:abstractNumId w:val="11"/>
  </w:num>
  <w:num w:numId="15">
    <w:abstractNumId w:val="16"/>
  </w:num>
  <w:num w:numId="16">
    <w:abstractNumId w:val="1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805B12"/>
    <w:rsid w:val="00007C82"/>
    <w:rsid w:val="00015F23"/>
    <w:rsid w:val="000D5D85"/>
    <w:rsid w:val="001131F6"/>
    <w:rsid w:val="001441C9"/>
    <w:rsid w:val="001F5D8B"/>
    <w:rsid w:val="002A216A"/>
    <w:rsid w:val="002F02A7"/>
    <w:rsid w:val="0032040A"/>
    <w:rsid w:val="0038189F"/>
    <w:rsid w:val="003F0808"/>
    <w:rsid w:val="004802E1"/>
    <w:rsid w:val="00481C07"/>
    <w:rsid w:val="004B09B5"/>
    <w:rsid w:val="004D555F"/>
    <w:rsid w:val="004E0F04"/>
    <w:rsid w:val="0057651C"/>
    <w:rsid w:val="00596C48"/>
    <w:rsid w:val="005A1A38"/>
    <w:rsid w:val="005A7D34"/>
    <w:rsid w:val="00695143"/>
    <w:rsid w:val="00805B12"/>
    <w:rsid w:val="0087402E"/>
    <w:rsid w:val="00921763"/>
    <w:rsid w:val="00955E49"/>
    <w:rsid w:val="009B525B"/>
    <w:rsid w:val="00AA5EEC"/>
    <w:rsid w:val="00AF58B9"/>
    <w:rsid w:val="00C650E3"/>
    <w:rsid w:val="00CF3026"/>
    <w:rsid w:val="00D710E7"/>
    <w:rsid w:val="00DC43D4"/>
    <w:rsid w:val="00E4406D"/>
    <w:rsid w:val="00EC07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41C9"/>
  </w:style>
  <w:style w:type="paragraph" w:styleId="Nadpis2">
    <w:name w:val="heading 2"/>
    <w:basedOn w:val="Normln"/>
    <w:link w:val="Nadpis2Char"/>
    <w:uiPriority w:val="9"/>
    <w:qFormat/>
    <w:rsid w:val="00805B1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05B1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05B1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05B1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05B1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05B12"/>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05B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5B12"/>
    <w:rPr>
      <w:b/>
      <w:bCs/>
    </w:rPr>
  </w:style>
  <w:style w:type="character" w:styleId="Zvraznn">
    <w:name w:val="Emphasis"/>
    <w:basedOn w:val="Standardnpsmoodstavce"/>
    <w:uiPriority w:val="20"/>
    <w:qFormat/>
    <w:rsid w:val="00805B12"/>
    <w:rPr>
      <w:i/>
      <w:iCs/>
    </w:rPr>
  </w:style>
  <w:style w:type="character" w:customStyle="1" w:styleId="apple-converted-space">
    <w:name w:val="apple-converted-space"/>
    <w:basedOn w:val="Standardnpsmoodstavce"/>
    <w:rsid w:val="00805B12"/>
  </w:style>
  <w:style w:type="paragraph" w:styleId="Odstavecseseznamem">
    <w:name w:val="List Paragraph"/>
    <w:basedOn w:val="Normln"/>
    <w:uiPriority w:val="34"/>
    <w:qFormat/>
    <w:rsid w:val="00695143"/>
    <w:pPr>
      <w:ind w:left="720"/>
      <w:contextualSpacing/>
    </w:pPr>
  </w:style>
  <w:style w:type="paragraph" w:styleId="Textbubliny">
    <w:name w:val="Balloon Text"/>
    <w:basedOn w:val="Normln"/>
    <w:link w:val="TextbublinyChar"/>
    <w:uiPriority w:val="99"/>
    <w:semiHidden/>
    <w:unhideWhenUsed/>
    <w:rsid w:val="00AA5E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6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1824</Words>
  <Characters>10767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Honzik</dc:creator>
  <cp:lastModifiedBy>Honzik</cp:lastModifiedBy>
  <cp:revision>7</cp:revision>
  <dcterms:created xsi:type="dcterms:W3CDTF">2017-09-18T11:02:00Z</dcterms:created>
  <dcterms:modified xsi:type="dcterms:W3CDTF">2017-09-18T15:50:00Z</dcterms:modified>
</cp:coreProperties>
</file>